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471B" w:rsidRPr="00686018" w:rsidRDefault="0009713E" w:rsidP="00A31608">
      <w:pPr>
        <w:jc w:val="both"/>
        <w:rPr>
          <w:rFonts w:ascii="Times New Roman" w:hAnsi="Times New Roman" w:cs="Times New Roman"/>
          <w:b/>
          <w:sz w:val="24"/>
          <w:szCs w:val="24"/>
        </w:rPr>
      </w:pPr>
      <w:r w:rsidRPr="00686018">
        <w:rPr>
          <w:rFonts w:ascii="Times New Roman" w:hAnsi="Times New Roman" w:cs="Times New Roman"/>
          <w:b/>
          <w:sz w:val="24"/>
          <w:szCs w:val="24"/>
        </w:rPr>
        <w:t xml:space="preserve"> </w:t>
      </w:r>
    </w:p>
    <w:p w:rsidR="00E8471B" w:rsidRPr="00686018" w:rsidRDefault="000C48F4" w:rsidP="00A31608">
      <w:pPr>
        <w:jc w:val="both"/>
        <w:rPr>
          <w:rFonts w:ascii="Times New Roman" w:hAnsi="Times New Roman" w:cs="Times New Roman"/>
          <w:b/>
          <w:sz w:val="24"/>
          <w:szCs w:val="24"/>
        </w:rPr>
      </w:pPr>
      <w:r w:rsidRPr="00686018">
        <w:rPr>
          <w:rFonts w:ascii="Times New Roman" w:hAnsi="Times New Roman" w:cs="Times New Roman"/>
          <w:noProof/>
          <w:sz w:val="24"/>
          <w:szCs w:val="24"/>
          <w:lang w:eastAsia="es-EC"/>
        </w:rPr>
        <w:drawing>
          <wp:anchor distT="0" distB="0" distL="114300" distR="114300" simplePos="0" relativeHeight="251658240" behindDoc="0" locked="0" layoutInCell="1" allowOverlap="1">
            <wp:simplePos x="0" y="0"/>
            <wp:positionH relativeFrom="margin">
              <wp:align>center</wp:align>
            </wp:positionH>
            <wp:positionV relativeFrom="paragraph">
              <wp:posOffset>9525</wp:posOffset>
            </wp:positionV>
            <wp:extent cx="914400" cy="1266320"/>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1266320"/>
                    </a:xfrm>
                    <a:prstGeom prst="rect">
                      <a:avLst/>
                    </a:prstGeom>
                    <a:noFill/>
                    <a:ln>
                      <a:noFill/>
                    </a:ln>
                  </pic:spPr>
                </pic:pic>
              </a:graphicData>
            </a:graphic>
          </wp:anchor>
        </w:drawing>
      </w:r>
      <w:r w:rsidR="00E158BC" w:rsidRPr="00686018">
        <w:rPr>
          <w:rFonts w:ascii="Times New Roman" w:hAnsi="Times New Roman" w:cs="Times New Roman"/>
          <w:b/>
          <w:sz w:val="24"/>
          <w:szCs w:val="24"/>
        </w:rPr>
        <w:br w:type="textWrapping" w:clear="all"/>
      </w:r>
    </w:p>
    <w:p w:rsidR="00833FB5" w:rsidRPr="00686018" w:rsidRDefault="00E8471B" w:rsidP="00B46DDC">
      <w:pPr>
        <w:jc w:val="center"/>
        <w:rPr>
          <w:rFonts w:ascii="Times New Roman" w:hAnsi="Times New Roman" w:cs="Times New Roman"/>
          <w:b/>
          <w:sz w:val="28"/>
          <w:szCs w:val="24"/>
        </w:rPr>
      </w:pPr>
      <w:r w:rsidRPr="00686018">
        <w:rPr>
          <w:rFonts w:ascii="Times New Roman" w:hAnsi="Times New Roman" w:cs="Times New Roman"/>
          <w:b/>
          <w:sz w:val="28"/>
          <w:szCs w:val="24"/>
        </w:rPr>
        <w:t>UNIVERSIDAD ESTATAL DE BOLIVAR</w:t>
      </w:r>
    </w:p>
    <w:p w:rsidR="000316FF" w:rsidRPr="00686018" w:rsidRDefault="000316FF" w:rsidP="00B46DDC">
      <w:pPr>
        <w:jc w:val="center"/>
        <w:rPr>
          <w:rFonts w:ascii="Times New Roman" w:hAnsi="Times New Roman" w:cs="Times New Roman"/>
          <w:sz w:val="28"/>
          <w:szCs w:val="24"/>
        </w:rPr>
      </w:pPr>
      <w:r w:rsidRPr="00686018">
        <w:rPr>
          <w:rFonts w:ascii="Times New Roman" w:hAnsi="Times New Roman" w:cs="Times New Roman"/>
          <w:sz w:val="28"/>
          <w:szCs w:val="24"/>
        </w:rPr>
        <w:t>Facultad de Ciencias Agropecuarias, Recursos Naturales y del Ambiente</w:t>
      </w:r>
    </w:p>
    <w:p w:rsidR="00E8471B" w:rsidRPr="00686018" w:rsidRDefault="000316FF" w:rsidP="00B46DDC">
      <w:pPr>
        <w:jc w:val="center"/>
        <w:rPr>
          <w:rFonts w:ascii="Times New Roman" w:hAnsi="Times New Roman" w:cs="Times New Roman"/>
          <w:sz w:val="28"/>
          <w:szCs w:val="24"/>
        </w:rPr>
      </w:pPr>
      <w:r w:rsidRPr="00686018">
        <w:rPr>
          <w:rFonts w:ascii="Times New Roman" w:hAnsi="Times New Roman" w:cs="Times New Roman"/>
          <w:sz w:val="28"/>
          <w:szCs w:val="24"/>
        </w:rPr>
        <w:t>Carrera de Ingeniería Agroindustrial</w:t>
      </w:r>
    </w:p>
    <w:p w:rsidR="0003468E" w:rsidRPr="00686018" w:rsidRDefault="0003468E" w:rsidP="00A31608">
      <w:pPr>
        <w:jc w:val="both"/>
        <w:rPr>
          <w:rFonts w:ascii="Times New Roman" w:hAnsi="Times New Roman" w:cs="Times New Roman"/>
          <w:sz w:val="24"/>
          <w:szCs w:val="24"/>
        </w:rPr>
      </w:pPr>
    </w:p>
    <w:p w:rsidR="00E8471B" w:rsidRPr="00686018" w:rsidRDefault="00E8471B" w:rsidP="00B46DDC">
      <w:pPr>
        <w:jc w:val="center"/>
        <w:rPr>
          <w:rFonts w:ascii="Times New Roman" w:hAnsi="Times New Roman" w:cs="Times New Roman"/>
          <w:b/>
          <w:sz w:val="24"/>
          <w:szCs w:val="24"/>
        </w:rPr>
      </w:pPr>
      <w:r w:rsidRPr="00686018">
        <w:rPr>
          <w:rFonts w:ascii="Times New Roman" w:hAnsi="Times New Roman" w:cs="Times New Roman"/>
          <w:b/>
          <w:sz w:val="24"/>
          <w:szCs w:val="24"/>
        </w:rPr>
        <w:t>TEMA</w:t>
      </w:r>
    </w:p>
    <w:p w:rsidR="00E8471B" w:rsidRPr="00686018" w:rsidRDefault="00E551B7" w:rsidP="00B46DDC">
      <w:pPr>
        <w:jc w:val="center"/>
        <w:rPr>
          <w:rFonts w:ascii="Times New Roman" w:hAnsi="Times New Roman" w:cs="Times New Roman"/>
          <w:sz w:val="24"/>
          <w:szCs w:val="24"/>
        </w:rPr>
      </w:pPr>
      <w:r w:rsidRPr="00686018">
        <w:rPr>
          <w:rFonts w:ascii="Times New Roman" w:hAnsi="Times New Roman" w:cs="Times New Roman"/>
          <w:sz w:val="24"/>
          <w:szCs w:val="24"/>
        </w:rPr>
        <w:t>CODIGESTIÓN</w:t>
      </w:r>
      <w:r w:rsidR="00E158BC" w:rsidRPr="00686018">
        <w:rPr>
          <w:rFonts w:ascii="Times New Roman" w:hAnsi="Times New Roman" w:cs="Times New Roman"/>
          <w:sz w:val="24"/>
          <w:szCs w:val="24"/>
        </w:rPr>
        <w:t xml:space="preserve"> ANAEROBIA DE </w:t>
      </w:r>
      <w:r w:rsidR="00FB17BF" w:rsidRPr="00686018">
        <w:rPr>
          <w:rFonts w:ascii="Times New Roman" w:hAnsi="Times New Roman" w:cs="Times New Roman"/>
          <w:sz w:val="24"/>
          <w:szCs w:val="24"/>
        </w:rPr>
        <w:t>RESIDUO RUMINAL</w:t>
      </w:r>
      <w:r w:rsidR="00945C2A" w:rsidRPr="00686018">
        <w:rPr>
          <w:rFonts w:ascii="Times New Roman" w:hAnsi="Times New Roman" w:cs="Times New Roman"/>
          <w:sz w:val="24"/>
          <w:szCs w:val="24"/>
        </w:rPr>
        <w:t xml:space="preserve"> DE </w:t>
      </w:r>
      <w:r w:rsidR="006D4942" w:rsidRPr="00686018">
        <w:rPr>
          <w:rFonts w:ascii="Times New Roman" w:hAnsi="Times New Roman" w:cs="Times New Roman"/>
          <w:sz w:val="24"/>
          <w:szCs w:val="24"/>
        </w:rPr>
        <w:t xml:space="preserve">VACAS FAENADAS </w:t>
      </w:r>
      <w:r w:rsidR="00945C2A" w:rsidRPr="00686018">
        <w:rPr>
          <w:rFonts w:ascii="Times New Roman" w:hAnsi="Times New Roman" w:cs="Times New Roman"/>
          <w:sz w:val="24"/>
          <w:szCs w:val="24"/>
        </w:rPr>
        <w:t>PROCEDENTES DEL</w:t>
      </w:r>
      <w:r w:rsidR="006D4942" w:rsidRPr="00686018">
        <w:rPr>
          <w:rFonts w:ascii="Times New Roman" w:hAnsi="Times New Roman" w:cs="Times New Roman"/>
          <w:sz w:val="24"/>
          <w:szCs w:val="24"/>
        </w:rPr>
        <w:t xml:space="preserve"> CAMAL MUNICIPAL DE GUARANDA </w:t>
      </w:r>
      <w:r w:rsidR="001B0C70" w:rsidRPr="00686018">
        <w:rPr>
          <w:rFonts w:ascii="Times New Roman" w:hAnsi="Times New Roman" w:cs="Times New Roman"/>
          <w:sz w:val="24"/>
          <w:szCs w:val="24"/>
        </w:rPr>
        <w:t xml:space="preserve">MEDIANTE LA ADICIÓN DE </w:t>
      </w:r>
      <w:r w:rsidR="00945C2A" w:rsidRPr="00686018">
        <w:rPr>
          <w:rFonts w:ascii="Times New Roman" w:hAnsi="Times New Roman" w:cs="Times New Roman"/>
          <w:sz w:val="24"/>
          <w:szCs w:val="24"/>
        </w:rPr>
        <w:t>PAJA DE TRIGO</w:t>
      </w:r>
      <w:r w:rsidRPr="00686018">
        <w:rPr>
          <w:rFonts w:ascii="Times New Roman" w:hAnsi="Times New Roman" w:cs="Times New Roman"/>
          <w:sz w:val="24"/>
          <w:szCs w:val="24"/>
        </w:rPr>
        <w:t xml:space="preserve"> (tallos)</w:t>
      </w:r>
      <w:r w:rsidR="00945C2A" w:rsidRPr="00686018">
        <w:rPr>
          <w:rFonts w:ascii="Times New Roman" w:hAnsi="Times New Roman" w:cs="Times New Roman"/>
          <w:sz w:val="24"/>
          <w:szCs w:val="24"/>
        </w:rPr>
        <w:t xml:space="preserve"> </w:t>
      </w:r>
      <w:r w:rsidR="00B860DD" w:rsidRPr="00686018">
        <w:rPr>
          <w:rFonts w:ascii="Times New Roman" w:hAnsi="Times New Roman" w:cs="Times New Roman"/>
          <w:sz w:val="24"/>
          <w:szCs w:val="24"/>
        </w:rPr>
        <w:t>PARA LA PRODUCCIÓN DE BIOGÁS</w:t>
      </w:r>
      <w:r w:rsidR="001B0C70" w:rsidRPr="00686018">
        <w:rPr>
          <w:rFonts w:ascii="Times New Roman" w:hAnsi="Times New Roman" w:cs="Times New Roman"/>
          <w:sz w:val="24"/>
          <w:szCs w:val="24"/>
        </w:rPr>
        <w:t xml:space="preserve"> A ESCALA DE LABORATORIO</w:t>
      </w:r>
      <w:r w:rsidR="00F2762A" w:rsidRPr="00686018">
        <w:rPr>
          <w:rFonts w:ascii="Times New Roman" w:hAnsi="Times New Roman" w:cs="Times New Roman"/>
          <w:sz w:val="24"/>
          <w:szCs w:val="24"/>
        </w:rPr>
        <w:t>.</w:t>
      </w:r>
    </w:p>
    <w:p w:rsidR="000316FF" w:rsidRPr="00686018" w:rsidRDefault="000316FF" w:rsidP="00B46DDC">
      <w:pPr>
        <w:jc w:val="center"/>
        <w:rPr>
          <w:rFonts w:ascii="Times New Roman" w:hAnsi="Times New Roman" w:cs="Times New Roman"/>
          <w:sz w:val="24"/>
          <w:szCs w:val="24"/>
        </w:rPr>
      </w:pPr>
    </w:p>
    <w:p w:rsidR="00E8471B" w:rsidRPr="00686018" w:rsidRDefault="000316FF" w:rsidP="00B46DDC">
      <w:pPr>
        <w:jc w:val="center"/>
        <w:rPr>
          <w:rFonts w:ascii="Times New Roman" w:hAnsi="Times New Roman" w:cs="Times New Roman"/>
          <w:b/>
          <w:sz w:val="24"/>
          <w:szCs w:val="24"/>
        </w:rPr>
      </w:pPr>
      <w:r w:rsidRPr="00686018">
        <w:rPr>
          <w:rFonts w:ascii="Times New Roman" w:hAnsi="Times New Roman" w:cs="Times New Roman"/>
          <w:b/>
          <w:sz w:val="24"/>
          <w:szCs w:val="24"/>
        </w:rPr>
        <w:t>Proyecto de Investigación previo a la obtención del título de Ingeniero Agroindustrial, otorgado por la Universidad Estatal de Bolívar a través de la Facultad de Ciencias Agropecuarias, Recursos Naturales y del Ambiente, Carrera de Ingeniería Agroindustrial</w:t>
      </w:r>
      <w:r w:rsidR="00F2762A" w:rsidRPr="00686018">
        <w:rPr>
          <w:rFonts w:ascii="Times New Roman" w:hAnsi="Times New Roman" w:cs="Times New Roman"/>
          <w:b/>
          <w:sz w:val="24"/>
          <w:szCs w:val="24"/>
        </w:rPr>
        <w:t>.</w:t>
      </w:r>
    </w:p>
    <w:p w:rsidR="000316FF" w:rsidRPr="00686018" w:rsidRDefault="000316FF" w:rsidP="00B46DDC">
      <w:pPr>
        <w:jc w:val="center"/>
        <w:rPr>
          <w:rFonts w:ascii="Times New Roman" w:hAnsi="Times New Roman" w:cs="Times New Roman"/>
          <w:sz w:val="24"/>
          <w:szCs w:val="24"/>
        </w:rPr>
      </w:pPr>
    </w:p>
    <w:p w:rsidR="00E8471B" w:rsidRPr="00686018" w:rsidRDefault="00E8471B" w:rsidP="00B46DDC">
      <w:pPr>
        <w:jc w:val="center"/>
        <w:rPr>
          <w:rFonts w:ascii="Times New Roman" w:hAnsi="Times New Roman" w:cs="Times New Roman"/>
          <w:b/>
          <w:sz w:val="24"/>
          <w:szCs w:val="24"/>
        </w:rPr>
      </w:pPr>
      <w:r w:rsidRPr="00686018">
        <w:rPr>
          <w:rFonts w:ascii="Times New Roman" w:hAnsi="Times New Roman" w:cs="Times New Roman"/>
          <w:b/>
          <w:sz w:val="24"/>
          <w:szCs w:val="24"/>
        </w:rPr>
        <w:t>AUTORES</w:t>
      </w:r>
    </w:p>
    <w:p w:rsidR="00AF32DD" w:rsidRDefault="00AF32DD" w:rsidP="00B46DDC">
      <w:pPr>
        <w:jc w:val="center"/>
        <w:rPr>
          <w:rFonts w:ascii="Times New Roman" w:hAnsi="Times New Roman" w:cs="Times New Roman"/>
          <w:sz w:val="24"/>
          <w:szCs w:val="24"/>
        </w:rPr>
      </w:pPr>
      <w:r>
        <w:rPr>
          <w:rFonts w:ascii="Times New Roman" w:hAnsi="Times New Roman" w:cs="Times New Roman"/>
          <w:sz w:val="24"/>
          <w:szCs w:val="24"/>
        </w:rPr>
        <w:t xml:space="preserve">IRMA CUMANDA CANO GUANUCHE </w:t>
      </w:r>
    </w:p>
    <w:p w:rsidR="00E8471B" w:rsidRPr="00686018" w:rsidRDefault="000316FF" w:rsidP="00B46DDC">
      <w:pPr>
        <w:jc w:val="center"/>
        <w:rPr>
          <w:rFonts w:ascii="Times New Roman" w:hAnsi="Times New Roman" w:cs="Times New Roman"/>
          <w:sz w:val="24"/>
          <w:szCs w:val="24"/>
        </w:rPr>
      </w:pPr>
      <w:r w:rsidRPr="00686018">
        <w:rPr>
          <w:rFonts w:ascii="Times New Roman" w:hAnsi="Times New Roman" w:cs="Times New Roman"/>
          <w:sz w:val="24"/>
          <w:szCs w:val="24"/>
        </w:rPr>
        <w:t>LUIS DAVID PILAMUNGA HURTADO</w:t>
      </w:r>
    </w:p>
    <w:p w:rsidR="00E8471B" w:rsidRPr="00686018" w:rsidRDefault="00E8471B" w:rsidP="00B46DDC">
      <w:pPr>
        <w:jc w:val="center"/>
        <w:rPr>
          <w:rFonts w:ascii="Times New Roman" w:hAnsi="Times New Roman" w:cs="Times New Roman"/>
          <w:b/>
          <w:sz w:val="24"/>
          <w:szCs w:val="24"/>
        </w:rPr>
      </w:pPr>
    </w:p>
    <w:p w:rsidR="00E8471B" w:rsidRPr="00686018" w:rsidRDefault="00E8471B" w:rsidP="00B46DDC">
      <w:pPr>
        <w:jc w:val="center"/>
        <w:rPr>
          <w:rFonts w:ascii="Times New Roman" w:hAnsi="Times New Roman" w:cs="Times New Roman"/>
          <w:b/>
          <w:sz w:val="24"/>
          <w:szCs w:val="24"/>
        </w:rPr>
      </w:pPr>
      <w:r w:rsidRPr="00686018">
        <w:rPr>
          <w:rFonts w:ascii="Times New Roman" w:hAnsi="Times New Roman" w:cs="Times New Roman"/>
          <w:b/>
          <w:sz w:val="24"/>
          <w:szCs w:val="24"/>
        </w:rPr>
        <w:t>DIRECTOR</w:t>
      </w:r>
    </w:p>
    <w:p w:rsidR="00E8471B" w:rsidRPr="00686018" w:rsidRDefault="00AF32DD" w:rsidP="00B46DDC">
      <w:pPr>
        <w:jc w:val="center"/>
        <w:rPr>
          <w:rFonts w:ascii="Times New Roman" w:hAnsi="Times New Roman" w:cs="Times New Roman"/>
          <w:sz w:val="24"/>
          <w:szCs w:val="24"/>
        </w:rPr>
      </w:pPr>
      <w:r w:rsidRPr="00686018">
        <w:rPr>
          <w:rFonts w:ascii="Times New Roman" w:hAnsi="Times New Roman" w:cs="Times New Roman"/>
          <w:sz w:val="24"/>
          <w:szCs w:val="24"/>
        </w:rPr>
        <w:t>DR. JUAN GAIBOR CHÁVEZ</w:t>
      </w:r>
    </w:p>
    <w:p w:rsidR="00E8471B" w:rsidRPr="00686018" w:rsidRDefault="00E8471B" w:rsidP="00B46DDC">
      <w:pPr>
        <w:jc w:val="center"/>
        <w:rPr>
          <w:rFonts w:ascii="Times New Roman" w:hAnsi="Times New Roman" w:cs="Times New Roman"/>
          <w:sz w:val="24"/>
          <w:szCs w:val="24"/>
        </w:rPr>
      </w:pPr>
    </w:p>
    <w:p w:rsidR="00E8471B" w:rsidRPr="00686018" w:rsidRDefault="00E8471B" w:rsidP="00B46DDC">
      <w:pPr>
        <w:jc w:val="center"/>
        <w:rPr>
          <w:rFonts w:ascii="Times New Roman" w:hAnsi="Times New Roman" w:cs="Times New Roman"/>
          <w:sz w:val="24"/>
          <w:szCs w:val="24"/>
        </w:rPr>
      </w:pPr>
      <w:r w:rsidRPr="00686018">
        <w:rPr>
          <w:rFonts w:ascii="Times New Roman" w:hAnsi="Times New Roman" w:cs="Times New Roman"/>
          <w:sz w:val="24"/>
          <w:szCs w:val="24"/>
        </w:rPr>
        <w:t>GUARANDA – ECUADOR</w:t>
      </w:r>
    </w:p>
    <w:p w:rsidR="00056941" w:rsidRDefault="001216F4" w:rsidP="00B46DDC">
      <w:pPr>
        <w:jc w:val="center"/>
        <w:rPr>
          <w:rFonts w:ascii="Times New Roman" w:hAnsi="Times New Roman" w:cs="Times New Roman"/>
          <w:sz w:val="24"/>
          <w:szCs w:val="24"/>
        </w:rPr>
        <w:sectPr w:rsidR="00056941" w:rsidSect="00F954BD">
          <w:footerReference w:type="default" r:id="rId9"/>
          <w:pgSz w:w="11906" w:h="16838"/>
          <w:pgMar w:top="1701" w:right="1701" w:bottom="1701" w:left="2268" w:header="708" w:footer="708" w:gutter="0"/>
          <w:cols w:space="708"/>
          <w:titlePg/>
          <w:docGrid w:linePitch="360"/>
        </w:sectPr>
      </w:pPr>
      <w:r w:rsidRPr="00686018">
        <w:rPr>
          <w:rFonts w:ascii="Times New Roman" w:hAnsi="Times New Roman" w:cs="Times New Roman"/>
          <w:sz w:val="24"/>
          <w:szCs w:val="24"/>
        </w:rPr>
        <w:t>2019</w:t>
      </w:r>
    </w:p>
    <w:p w:rsidR="00CC46E1" w:rsidRPr="00686018" w:rsidRDefault="00B0576D" w:rsidP="00B46DDC">
      <w:pPr>
        <w:pStyle w:val="Ttulo7"/>
        <w:jc w:val="center"/>
        <w:rPr>
          <w:rFonts w:cs="Times New Roman"/>
        </w:rPr>
      </w:pPr>
      <w:bookmarkStart w:id="0" w:name="_Toc9537760"/>
      <w:r w:rsidRPr="00686018">
        <w:rPr>
          <w:rFonts w:cs="Times New Roman"/>
        </w:rPr>
        <w:lastRenderedPageBreak/>
        <w:t>TEMA</w:t>
      </w:r>
      <w:bookmarkEnd w:id="0"/>
    </w:p>
    <w:p w:rsidR="00CC46E1" w:rsidRPr="00686018" w:rsidRDefault="00CC46E1" w:rsidP="00A31608">
      <w:pPr>
        <w:jc w:val="both"/>
        <w:rPr>
          <w:rFonts w:ascii="Times New Roman" w:hAnsi="Times New Roman" w:cs="Times New Roman"/>
          <w:bCs/>
          <w:sz w:val="24"/>
          <w:szCs w:val="24"/>
        </w:rPr>
      </w:pPr>
    </w:p>
    <w:p w:rsidR="00CC46E1" w:rsidRPr="00686018" w:rsidRDefault="00CC46E1" w:rsidP="00A31608">
      <w:pPr>
        <w:pStyle w:val="Default"/>
        <w:spacing w:line="360" w:lineRule="auto"/>
        <w:jc w:val="both"/>
      </w:pPr>
      <w:r w:rsidRPr="00686018">
        <w:t>CODIGESTIÓN ANAEROBIA DE RESIDUO RUMINAL DE VACAS FAENADAS PROCEDENTES DEL CAMAL MUNICIPAL DE GUARANDA MEDIANTE LA ADICIÓN DE PAJA DE TRIGO (tallos) PARA LA PRODUCCIÓN DE BIOGÁS A ESCALA DE LABORATORIO</w:t>
      </w:r>
      <w:r w:rsidR="0003468E" w:rsidRPr="00686018">
        <w:t>.</w:t>
      </w:r>
    </w:p>
    <w:p w:rsidR="00DF64A0" w:rsidRPr="00686018" w:rsidRDefault="00DF64A0" w:rsidP="00A31608">
      <w:pPr>
        <w:pStyle w:val="Default"/>
        <w:spacing w:line="360" w:lineRule="auto"/>
        <w:jc w:val="both"/>
      </w:pPr>
    </w:p>
    <w:p w:rsidR="0003468E" w:rsidRPr="00686018" w:rsidRDefault="0003468E" w:rsidP="00A31608">
      <w:pPr>
        <w:pStyle w:val="Default"/>
        <w:spacing w:line="360" w:lineRule="auto"/>
        <w:jc w:val="both"/>
      </w:pP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r w:rsidRPr="00686018">
        <w:rPr>
          <w:b/>
        </w:rPr>
        <w:t>REVISADO Y APROBADO POR:</w:t>
      </w: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r w:rsidRPr="00686018">
        <w:rPr>
          <w:b/>
        </w:rPr>
        <w:t>…………………………………..</w:t>
      </w:r>
    </w:p>
    <w:p w:rsidR="00CC46E1" w:rsidRPr="00686018" w:rsidRDefault="0003468E" w:rsidP="00B46DDC">
      <w:pPr>
        <w:pStyle w:val="Default"/>
        <w:spacing w:line="360" w:lineRule="auto"/>
        <w:jc w:val="center"/>
        <w:rPr>
          <w:b/>
        </w:rPr>
      </w:pPr>
      <w:r w:rsidRPr="00686018">
        <w:rPr>
          <w:b/>
        </w:rPr>
        <w:t>DR</w:t>
      </w:r>
      <w:r w:rsidR="00CC46E1" w:rsidRPr="00686018">
        <w:rPr>
          <w:b/>
        </w:rPr>
        <w:t>.</w:t>
      </w:r>
      <w:r w:rsidRPr="00686018">
        <w:rPr>
          <w:b/>
        </w:rPr>
        <w:t xml:space="preserve"> JUAN ALBERTO GAIBOR CHAVEZ</w:t>
      </w:r>
    </w:p>
    <w:p w:rsidR="00CC46E1" w:rsidRPr="00686018" w:rsidRDefault="00CC46E1" w:rsidP="00B46DDC">
      <w:pPr>
        <w:pStyle w:val="Default"/>
        <w:spacing w:line="360" w:lineRule="auto"/>
        <w:jc w:val="center"/>
        <w:rPr>
          <w:b/>
        </w:rPr>
      </w:pPr>
      <w:r w:rsidRPr="00686018">
        <w:rPr>
          <w:b/>
        </w:rPr>
        <w:t>DIRECTOR DEL PROYECTO</w:t>
      </w: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r w:rsidRPr="00686018">
        <w:rPr>
          <w:b/>
        </w:rPr>
        <w:t>…………………………………………..</w:t>
      </w:r>
    </w:p>
    <w:p w:rsidR="00CC46E1" w:rsidRPr="00686018" w:rsidRDefault="000316FF" w:rsidP="00B46DDC">
      <w:pPr>
        <w:pStyle w:val="Default"/>
        <w:spacing w:line="360" w:lineRule="auto"/>
        <w:jc w:val="center"/>
        <w:rPr>
          <w:b/>
        </w:rPr>
      </w:pPr>
      <w:r w:rsidRPr="00686018">
        <w:rPr>
          <w:b/>
        </w:rPr>
        <w:t>PhD. FAVIAN BAYAS MOREJON</w:t>
      </w:r>
    </w:p>
    <w:p w:rsidR="00CC46E1" w:rsidRPr="00686018" w:rsidRDefault="00CC46E1" w:rsidP="00B46DDC">
      <w:pPr>
        <w:pStyle w:val="Default"/>
        <w:spacing w:line="360" w:lineRule="auto"/>
        <w:jc w:val="center"/>
        <w:rPr>
          <w:b/>
        </w:rPr>
      </w:pPr>
      <w:r w:rsidRPr="00686018">
        <w:rPr>
          <w:b/>
        </w:rPr>
        <w:t>ÁREA DE BIOMETRÍA</w:t>
      </w: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p>
    <w:p w:rsidR="00CC46E1" w:rsidRPr="00686018" w:rsidRDefault="00CC46E1" w:rsidP="00B46DDC">
      <w:pPr>
        <w:pStyle w:val="Default"/>
        <w:spacing w:line="360" w:lineRule="auto"/>
        <w:jc w:val="center"/>
        <w:rPr>
          <w:b/>
        </w:rPr>
      </w:pPr>
      <w:r w:rsidRPr="00686018">
        <w:rPr>
          <w:b/>
        </w:rPr>
        <w:t>…………………………………………..</w:t>
      </w:r>
    </w:p>
    <w:p w:rsidR="00CC46E1" w:rsidRPr="00686018" w:rsidRDefault="0068649D" w:rsidP="00B46DDC">
      <w:pPr>
        <w:pStyle w:val="Default"/>
        <w:spacing w:line="360" w:lineRule="auto"/>
        <w:jc w:val="center"/>
        <w:rPr>
          <w:b/>
        </w:rPr>
      </w:pPr>
      <w:r w:rsidRPr="00686018">
        <w:rPr>
          <w:b/>
        </w:rPr>
        <w:t>PhD</w:t>
      </w:r>
      <w:r w:rsidR="000316FF" w:rsidRPr="00686018">
        <w:rPr>
          <w:b/>
        </w:rPr>
        <w:t xml:space="preserve">. </w:t>
      </w:r>
      <w:r w:rsidR="00C661B2" w:rsidRPr="00686018">
        <w:rPr>
          <w:b/>
        </w:rPr>
        <w:t>H</w:t>
      </w:r>
      <w:r w:rsidR="000316FF" w:rsidRPr="00686018">
        <w:rPr>
          <w:b/>
        </w:rPr>
        <w:t>ERMINIA SANAGUANO</w:t>
      </w:r>
    </w:p>
    <w:p w:rsidR="00CC46E1" w:rsidRPr="00686018" w:rsidRDefault="00CC46E1" w:rsidP="00B46DDC">
      <w:pPr>
        <w:pStyle w:val="Default"/>
        <w:spacing w:line="360" w:lineRule="auto"/>
        <w:jc w:val="center"/>
        <w:rPr>
          <w:b/>
        </w:rPr>
      </w:pPr>
      <w:r w:rsidRPr="00686018">
        <w:rPr>
          <w:b/>
        </w:rPr>
        <w:t>ÁREA DE REDACCIÓN TÉCNICA</w:t>
      </w:r>
    </w:p>
    <w:p w:rsidR="00CC46E1" w:rsidRPr="00686018" w:rsidRDefault="00CC46E1" w:rsidP="00B46DDC">
      <w:pPr>
        <w:jc w:val="center"/>
        <w:rPr>
          <w:rFonts w:ascii="Times New Roman" w:hAnsi="Times New Roman" w:cs="Times New Roman"/>
          <w:sz w:val="24"/>
          <w:szCs w:val="24"/>
        </w:rPr>
      </w:pPr>
    </w:p>
    <w:p w:rsidR="00F56C72" w:rsidRPr="00686018" w:rsidRDefault="00F56C72" w:rsidP="00A31608">
      <w:pPr>
        <w:jc w:val="both"/>
        <w:rPr>
          <w:rFonts w:ascii="Times New Roman" w:hAnsi="Times New Roman" w:cs="Times New Roman"/>
          <w:sz w:val="24"/>
          <w:szCs w:val="24"/>
        </w:rPr>
      </w:pPr>
    </w:p>
    <w:p w:rsidR="000316FF" w:rsidRPr="00686018" w:rsidRDefault="000316FF" w:rsidP="00A31608">
      <w:pPr>
        <w:jc w:val="both"/>
        <w:rPr>
          <w:rFonts w:ascii="Times New Roman" w:hAnsi="Times New Roman" w:cs="Times New Roman"/>
          <w:sz w:val="24"/>
          <w:szCs w:val="24"/>
        </w:rPr>
      </w:pPr>
    </w:p>
    <w:p w:rsidR="00F2762A" w:rsidRPr="00686018" w:rsidRDefault="00F2762A" w:rsidP="00A31608">
      <w:pPr>
        <w:jc w:val="both"/>
        <w:rPr>
          <w:rFonts w:ascii="Times New Roman" w:hAnsi="Times New Roman" w:cs="Times New Roman"/>
          <w:sz w:val="24"/>
          <w:szCs w:val="24"/>
        </w:rPr>
      </w:pPr>
    </w:p>
    <w:p w:rsidR="00F2762A" w:rsidRPr="00686018" w:rsidRDefault="00F2762A" w:rsidP="00B46DDC">
      <w:pPr>
        <w:pStyle w:val="Ttulo7"/>
        <w:jc w:val="center"/>
        <w:rPr>
          <w:rFonts w:cs="Times New Roman"/>
        </w:rPr>
      </w:pPr>
      <w:bookmarkStart w:id="1" w:name="_Toc9537761"/>
      <w:r w:rsidRPr="00686018">
        <w:rPr>
          <w:rFonts w:cs="Times New Roman"/>
        </w:rPr>
        <w:lastRenderedPageBreak/>
        <w:t>CERTIFICACIÓN DE AUTORÍA</w:t>
      </w:r>
      <w:bookmarkEnd w:id="1"/>
    </w:p>
    <w:p w:rsidR="00F2762A" w:rsidRPr="00686018" w:rsidRDefault="00F2762A" w:rsidP="00A31608">
      <w:pPr>
        <w:jc w:val="both"/>
        <w:rPr>
          <w:rFonts w:ascii="Times New Roman" w:hAnsi="Times New Roman" w:cs="Times New Roman"/>
          <w:color w:val="000000"/>
          <w:sz w:val="24"/>
        </w:rPr>
      </w:pPr>
    </w:p>
    <w:p w:rsidR="00F2762A" w:rsidRPr="00686018" w:rsidRDefault="00F2762A" w:rsidP="00A31608">
      <w:pPr>
        <w:jc w:val="both"/>
        <w:rPr>
          <w:rFonts w:ascii="Times New Roman" w:hAnsi="Times New Roman" w:cs="Times New Roman"/>
          <w:color w:val="000000"/>
          <w:sz w:val="24"/>
        </w:rPr>
      </w:pPr>
      <w:r w:rsidRPr="00686018">
        <w:rPr>
          <w:rFonts w:ascii="Times New Roman" w:hAnsi="Times New Roman" w:cs="Times New Roman"/>
          <w:color w:val="000000"/>
          <w:sz w:val="24"/>
        </w:rPr>
        <w:t>Nosotros, Irma Cumandá Cano Guanuche con Cl</w:t>
      </w:r>
      <w:r w:rsidR="00DF64A0" w:rsidRPr="00686018">
        <w:rPr>
          <w:rFonts w:ascii="Times New Roman" w:hAnsi="Times New Roman" w:cs="Times New Roman"/>
          <w:color w:val="000000"/>
          <w:sz w:val="24"/>
        </w:rPr>
        <w:t>:</w:t>
      </w:r>
      <w:r w:rsidR="00B639AA">
        <w:rPr>
          <w:rFonts w:ascii="Times New Roman" w:hAnsi="Times New Roman" w:cs="Times New Roman"/>
          <w:color w:val="000000"/>
          <w:sz w:val="24"/>
        </w:rPr>
        <w:t xml:space="preserve"> </w:t>
      </w:r>
      <w:r w:rsidR="00DF64A0" w:rsidRPr="00686018">
        <w:rPr>
          <w:rFonts w:ascii="Times New Roman" w:hAnsi="Times New Roman" w:cs="Times New Roman"/>
          <w:color w:val="000000"/>
          <w:sz w:val="24"/>
        </w:rPr>
        <w:t>1105094617</w:t>
      </w:r>
      <w:r w:rsidRPr="00686018">
        <w:rPr>
          <w:rFonts w:ascii="Times New Roman" w:hAnsi="Times New Roman" w:cs="Times New Roman"/>
          <w:color w:val="000000"/>
          <w:sz w:val="24"/>
        </w:rPr>
        <w:t xml:space="preserve"> &amp; Luis David Pilamunga Hurtado con Cl: 0202510202, declaramos que el trabajo y los resultados presentados en este informe, no ha sido previamente presentado para ningún grado o calificación profesional; y, que las referencias bibliográficas que se incluyen han sido consultadas y citadas con su respectivo autor (es). </w:t>
      </w:r>
    </w:p>
    <w:p w:rsidR="00F2762A" w:rsidRPr="00686018" w:rsidRDefault="00F2762A" w:rsidP="00A31608">
      <w:pPr>
        <w:jc w:val="both"/>
        <w:rPr>
          <w:rFonts w:ascii="Times New Roman" w:hAnsi="Times New Roman" w:cs="Times New Roman"/>
          <w:color w:val="000000"/>
          <w:sz w:val="24"/>
        </w:rPr>
      </w:pPr>
      <w:r w:rsidRPr="00686018">
        <w:rPr>
          <w:rFonts w:ascii="Times New Roman" w:hAnsi="Times New Roman" w:cs="Times New Roman"/>
          <w:color w:val="000000"/>
          <w:sz w:val="24"/>
        </w:rPr>
        <w:t xml:space="preserve">La Universidad Estatal de Bolívar puede hacer uso de los derechos de publicación correspondientes a este trabajo, según lo establecido por la Ley de Propiedad Intelectual, por su reglamento y por la normativa institucional vigente. </w:t>
      </w:r>
    </w:p>
    <w:p w:rsidR="00F2762A" w:rsidRPr="00686018" w:rsidRDefault="00F2762A" w:rsidP="00A31608">
      <w:pPr>
        <w:jc w:val="both"/>
        <w:rPr>
          <w:rFonts w:ascii="Times New Roman" w:hAnsi="Times New Roman" w:cs="Times New Roman"/>
          <w:color w:val="000000"/>
          <w:sz w:val="24"/>
        </w:rPr>
        <w:sectPr w:rsidR="00F2762A" w:rsidRPr="00686018" w:rsidSect="00E169D1">
          <w:footerReference w:type="default" r:id="rId10"/>
          <w:pgSz w:w="11906" w:h="16838"/>
          <w:pgMar w:top="1701" w:right="1701" w:bottom="1701" w:left="2268" w:header="708" w:footer="708" w:gutter="0"/>
          <w:pgNumType w:fmt="upperRoman"/>
          <w:cols w:space="708"/>
          <w:docGrid w:linePitch="360"/>
        </w:sectPr>
      </w:pPr>
    </w:p>
    <w:p w:rsidR="00F2762A" w:rsidRPr="00686018" w:rsidRDefault="00F2762A" w:rsidP="00A31608">
      <w:pPr>
        <w:jc w:val="both"/>
        <w:rPr>
          <w:rFonts w:ascii="Times New Roman" w:hAnsi="Times New Roman" w:cs="Times New Roman"/>
          <w:color w:val="000000"/>
          <w:sz w:val="24"/>
        </w:rPr>
      </w:pPr>
    </w:p>
    <w:p w:rsidR="00F2762A" w:rsidRPr="00686018" w:rsidRDefault="00F2762A" w:rsidP="00A31608">
      <w:pPr>
        <w:jc w:val="both"/>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r w:rsidRPr="00686018">
        <w:rPr>
          <w:rFonts w:ascii="Times New Roman" w:hAnsi="Times New Roman" w:cs="Times New Roman"/>
          <w:color w:val="000000"/>
          <w:sz w:val="24"/>
        </w:rPr>
        <w:t>___________________________</w:t>
      </w:r>
    </w:p>
    <w:p w:rsidR="00F2762A" w:rsidRPr="00686018" w:rsidRDefault="00F2762A" w:rsidP="003A1ACF">
      <w:pPr>
        <w:jc w:val="center"/>
        <w:rPr>
          <w:rFonts w:ascii="Times New Roman" w:hAnsi="Times New Roman" w:cs="Times New Roman"/>
          <w:color w:val="000000"/>
          <w:sz w:val="24"/>
        </w:rPr>
      </w:pPr>
      <w:r w:rsidRPr="00686018">
        <w:rPr>
          <w:rFonts w:ascii="Times New Roman" w:hAnsi="Times New Roman" w:cs="Times New Roman"/>
          <w:color w:val="000000"/>
          <w:sz w:val="24"/>
        </w:rPr>
        <w:t>Estudiante</w:t>
      </w:r>
    </w:p>
    <w:p w:rsidR="00F2762A" w:rsidRPr="00686018" w:rsidRDefault="00F2762A" w:rsidP="003A1ACF">
      <w:pPr>
        <w:jc w:val="center"/>
        <w:rPr>
          <w:rFonts w:ascii="Times New Roman" w:hAnsi="Times New Roman" w:cs="Times New Roman"/>
          <w:b/>
          <w:color w:val="000000"/>
          <w:sz w:val="24"/>
        </w:rPr>
      </w:pPr>
      <w:r w:rsidRPr="00686018">
        <w:rPr>
          <w:rFonts w:ascii="Times New Roman" w:hAnsi="Times New Roman" w:cs="Times New Roman"/>
          <w:b/>
          <w:color w:val="000000"/>
          <w:sz w:val="24"/>
        </w:rPr>
        <w:t>Irma Cumandá Cano Guanuche</w:t>
      </w:r>
    </w:p>
    <w:p w:rsidR="00F2762A" w:rsidRPr="00686018" w:rsidRDefault="00F2762A" w:rsidP="003A1ACF">
      <w:pPr>
        <w:jc w:val="center"/>
        <w:rPr>
          <w:rFonts w:ascii="Times New Roman" w:hAnsi="Times New Roman" w:cs="Times New Roman"/>
          <w:color w:val="000000"/>
          <w:sz w:val="24"/>
        </w:rPr>
      </w:pPr>
      <w:r w:rsidRPr="00686018">
        <w:rPr>
          <w:rFonts w:ascii="Times New Roman" w:hAnsi="Times New Roman" w:cs="Times New Roman"/>
          <w:b/>
          <w:color w:val="000000"/>
          <w:sz w:val="24"/>
        </w:rPr>
        <w:t>CI:</w:t>
      </w:r>
      <w:r w:rsidR="00B639AA">
        <w:rPr>
          <w:rFonts w:ascii="Times New Roman" w:hAnsi="Times New Roman" w:cs="Times New Roman"/>
          <w:b/>
          <w:color w:val="000000"/>
          <w:sz w:val="24"/>
        </w:rPr>
        <w:t xml:space="preserve"> </w:t>
      </w:r>
      <w:r w:rsidR="00DF64A0" w:rsidRPr="00686018">
        <w:rPr>
          <w:rFonts w:ascii="Times New Roman" w:hAnsi="Times New Roman" w:cs="Times New Roman"/>
          <w:color w:val="000000"/>
          <w:sz w:val="24"/>
        </w:rPr>
        <w:t>1105094617</w:t>
      </w: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r w:rsidRPr="00686018">
        <w:rPr>
          <w:rFonts w:ascii="Times New Roman" w:hAnsi="Times New Roman" w:cs="Times New Roman"/>
          <w:color w:val="000000"/>
          <w:sz w:val="24"/>
        </w:rPr>
        <w:t>__________________________</w:t>
      </w:r>
    </w:p>
    <w:p w:rsidR="00F2762A" w:rsidRPr="00686018" w:rsidRDefault="00F2762A" w:rsidP="003A1ACF">
      <w:pPr>
        <w:spacing w:after="240"/>
        <w:jc w:val="center"/>
        <w:rPr>
          <w:rFonts w:ascii="Times New Roman" w:hAnsi="Times New Roman" w:cs="Times New Roman"/>
          <w:b/>
          <w:color w:val="000000"/>
          <w:sz w:val="24"/>
        </w:rPr>
      </w:pPr>
      <w:r w:rsidRPr="00686018">
        <w:rPr>
          <w:rFonts w:ascii="Times New Roman" w:hAnsi="Times New Roman" w:cs="Times New Roman"/>
          <w:color w:val="000000"/>
          <w:sz w:val="24"/>
        </w:rPr>
        <w:t>Estudiante</w:t>
      </w:r>
      <w:r w:rsidRPr="00686018">
        <w:rPr>
          <w:rFonts w:ascii="Times New Roman" w:hAnsi="Times New Roman" w:cs="Times New Roman"/>
          <w:color w:val="000000"/>
          <w:sz w:val="24"/>
        </w:rPr>
        <w:br/>
      </w:r>
      <w:r w:rsidRPr="00686018">
        <w:rPr>
          <w:rFonts w:ascii="Times New Roman" w:hAnsi="Times New Roman" w:cs="Times New Roman"/>
          <w:b/>
          <w:color w:val="000000"/>
          <w:sz w:val="24"/>
        </w:rPr>
        <w:t>Luis David Pilamunga Hurtado</w:t>
      </w:r>
    </w:p>
    <w:p w:rsidR="00F2762A" w:rsidRPr="00686018" w:rsidRDefault="00F2762A" w:rsidP="003A1ACF">
      <w:pPr>
        <w:jc w:val="center"/>
        <w:rPr>
          <w:rFonts w:ascii="Times New Roman" w:hAnsi="Times New Roman" w:cs="Times New Roman"/>
          <w:color w:val="000000"/>
          <w:sz w:val="24"/>
        </w:rPr>
      </w:pPr>
      <w:r w:rsidRPr="00686018">
        <w:rPr>
          <w:rFonts w:ascii="Times New Roman" w:hAnsi="Times New Roman" w:cs="Times New Roman"/>
          <w:b/>
          <w:color w:val="000000"/>
          <w:sz w:val="24"/>
        </w:rPr>
        <w:t xml:space="preserve">CI: </w:t>
      </w:r>
      <w:r w:rsidRPr="00686018">
        <w:rPr>
          <w:rFonts w:ascii="Times New Roman" w:hAnsi="Times New Roman" w:cs="Times New Roman"/>
          <w:color w:val="000000"/>
          <w:sz w:val="24"/>
        </w:rPr>
        <w:t>0202510202</w:t>
      </w:r>
    </w:p>
    <w:p w:rsidR="00F2762A" w:rsidRPr="00686018" w:rsidRDefault="00F2762A" w:rsidP="003A1ACF">
      <w:pPr>
        <w:jc w:val="center"/>
        <w:rPr>
          <w:rFonts w:ascii="Times New Roman" w:hAnsi="Times New Roman" w:cs="Times New Roman"/>
          <w:color w:val="000000"/>
          <w:sz w:val="24"/>
        </w:rPr>
        <w:sectPr w:rsidR="00F2762A" w:rsidRPr="00686018" w:rsidSect="00056941">
          <w:type w:val="continuous"/>
          <w:pgSz w:w="11906" w:h="16838"/>
          <w:pgMar w:top="1701" w:right="1701" w:bottom="1701" w:left="2268" w:header="708" w:footer="708" w:gutter="0"/>
          <w:cols w:num="2" w:space="708"/>
          <w:docGrid w:linePitch="360"/>
        </w:sectPr>
      </w:pP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b/>
          <w:bCs/>
          <w:color w:val="000000"/>
          <w:sz w:val="24"/>
        </w:rPr>
      </w:pPr>
      <w:r w:rsidRPr="00686018">
        <w:rPr>
          <w:rFonts w:ascii="Times New Roman" w:hAnsi="Times New Roman" w:cs="Times New Roman"/>
          <w:b/>
          <w:bCs/>
          <w:color w:val="000000"/>
          <w:sz w:val="24"/>
        </w:rPr>
        <w:t>______________________________</w:t>
      </w:r>
    </w:p>
    <w:p w:rsidR="00F2762A" w:rsidRPr="00686018" w:rsidRDefault="00F2762A" w:rsidP="003A1ACF">
      <w:pPr>
        <w:jc w:val="center"/>
        <w:rPr>
          <w:rFonts w:ascii="Times New Roman" w:hAnsi="Times New Roman" w:cs="Times New Roman"/>
          <w:color w:val="000000"/>
          <w:sz w:val="24"/>
        </w:rPr>
      </w:pPr>
      <w:r w:rsidRPr="00686018">
        <w:rPr>
          <w:rFonts w:ascii="Times New Roman" w:hAnsi="Times New Roman" w:cs="Times New Roman"/>
          <w:color w:val="000000"/>
          <w:sz w:val="24"/>
        </w:rPr>
        <w:t>Director del Proyecto</w:t>
      </w:r>
      <w:r w:rsidRPr="00686018">
        <w:rPr>
          <w:rFonts w:ascii="Times New Roman" w:hAnsi="Times New Roman" w:cs="Times New Roman"/>
          <w:color w:val="000000"/>
          <w:sz w:val="24"/>
        </w:rPr>
        <w:br/>
      </w:r>
      <w:r w:rsidRPr="00686018">
        <w:rPr>
          <w:rFonts w:ascii="Times New Roman" w:hAnsi="Times New Roman" w:cs="Times New Roman"/>
          <w:b/>
          <w:bCs/>
          <w:color w:val="000000"/>
          <w:sz w:val="24"/>
        </w:rPr>
        <w:t>PhD. Juan Alberto Gaibor Chávez</w:t>
      </w:r>
    </w:p>
    <w:p w:rsidR="00F2762A" w:rsidRPr="00686018" w:rsidRDefault="00F2762A" w:rsidP="003A1ACF">
      <w:pPr>
        <w:jc w:val="center"/>
        <w:rPr>
          <w:rFonts w:ascii="Times New Roman" w:hAnsi="Times New Roman" w:cs="Times New Roman"/>
          <w:color w:val="000000"/>
          <w:sz w:val="24"/>
        </w:rPr>
      </w:pPr>
      <w:r w:rsidRPr="00686018">
        <w:rPr>
          <w:rFonts w:ascii="Times New Roman" w:hAnsi="Times New Roman" w:cs="Times New Roman"/>
          <w:color w:val="000000"/>
          <w:sz w:val="24"/>
        </w:rPr>
        <w:t>Cl: 02001051687</w:t>
      </w: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p>
    <w:p w:rsidR="00F2762A" w:rsidRPr="00686018" w:rsidRDefault="00F2762A" w:rsidP="003A1ACF">
      <w:pPr>
        <w:jc w:val="center"/>
        <w:rPr>
          <w:rFonts w:ascii="Times New Roman" w:hAnsi="Times New Roman" w:cs="Times New Roman"/>
          <w:color w:val="000000"/>
          <w:sz w:val="24"/>
        </w:rPr>
      </w:pPr>
      <w:r w:rsidRPr="00686018">
        <w:rPr>
          <w:rFonts w:ascii="Times New Roman" w:hAnsi="Times New Roman" w:cs="Times New Roman"/>
          <w:b/>
          <w:bCs/>
          <w:color w:val="000000"/>
          <w:sz w:val="24"/>
        </w:rPr>
        <w:t>_______________________________</w:t>
      </w:r>
    </w:p>
    <w:p w:rsidR="00F2762A" w:rsidRPr="00686018" w:rsidRDefault="00F2762A" w:rsidP="003A1ACF">
      <w:pPr>
        <w:jc w:val="center"/>
        <w:rPr>
          <w:rFonts w:ascii="Times New Roman" w:hAnsi="Times New Roman" w:cs="Times New Roman"/>
          <w:b/>
          <w:bCs/>
          <w:color w:val="000000"/>
          <w:sz w:val="24"/>
        </w:rPr>
      </w:pPr>
      <w:r w:rsidRPr="00686018">
        <w:rPr>
          <w:rFonts w:ascii="Times New Roman" w:hAnsi="Times New Roman" w:cs="Times New Roman"/>
          <w:color w:val="000000"/>
          <w:sz w:val="24"/>
        </w:rPr>
        <w:t>Área de Redacción Técnica</w:t>
      </w:r>
      <w:r w:rsidRPr="00686018">
        <w:rPr>
          <w:rFonts w:ascii="Times New Roman" w:hAnsi="Times New Roman" w:cs="Times New Roman"/>
          <w:color w:val="000000"/>
          <w:sz w:val="24"/>
        </w:rPr>
        <w:br/>
      </w:r>
      <w:r w:rsidR="0068649D" w:rsidRPr="00686018">
        <w:rPr>
          <w:rFonts w:ascii="Times New Roman" w:hAnsi="Times New Roman" w:cs="Times New Roman"/>
          <w:b/>
          <w:bCs/>
          <w:color w:val="000000"/>
          <w:sz w:val="24"/>
        </w:rPr>
        <w:t>PhD</w:t>
      </w:r>
      <w:r w:rsidRPr="00686018">
        <w:rPr>
          <w:rFonts w:ascii="Times New Roman" w:hAnsi="Times New Roman" w:cs="Times New Roman"/>
          <w:b/>
          <w:bCs/>
          <w:color w:val="000000"/>
          <w:sz w:val="24"/>
        </w:rPr>
        <w:t>. Herminia Sanaguano</w:t>
      </w:r>
    </w:p>
    <w:p w:rsidR="00F2762A" w:rsidRDefault="00F2762A" w:rsidP="003A1ACF">
      <w:pPr>
        <w:jc w:val="center"/>
        <w:rPr>
          <w:rFonts w:ascii="Times New Roman" w:hAnsi="Times New Roman" w:cs="Times New Roman"/>
          <w:color w:val="000000"/>
          <w:sz w:val="24"/>
        </w:rPr>
      </w:pPr>
      <w:r w:rsidRPr="00686018">
        <w:rPr>
          <w:rFonts w:ascii="Times New Roman" w:hAnsi="Times New Roman" w:cs="Times New Roman"/>
          <w:color w:val="000000"/>
          <w:sz w:val="24"/>
        </w:rPr>
        <w:t xml:space="preserve">Cl: </w:t>
      </w:r>
      <w:r w:rsidR="0068649D" w:rsidRPr="00686018">
        <w:rPr>
          <w:rFonts w:ascii="Times New Roman" w:hAnsi="Times New Roman" w:cs="Times New Roman"/>
          <w:color w:val="000000"/>
          <w:sz w:val="24"/>
        </w:rPr>
        <w:t>0601587280</w:t>
      </w:r>
    </w:p>
    <w:p w:rsidR="001B7ACB" w:rsidRDefault="001B7ACB" w:rsidP="003A1ACF">
      <w:pPr>
        <w:jc w:val="center"/>
        <w:rPr>
          <w:rFonts w:ascii="Times New Roman" w:hAnsi="Times New Roman" w:cs="Times New Roman"/>
          <w:color w:val="000000"/>
          <w:sz w:val="24"/>
        </w:rPr>
      </w:pPr>
    </w:p>
    <w:p w:rsidR="001B7ACB" w:rsidRDefault="001B7ACB" w:rsidP="001B7ACB">
      <w:pPr>
        <w:pStyle w:val="Ttulo7"/>
        <w:jc w:val="center"/>
      </w:pPr>
      <w:bookmarkStart w:id="2" w:name="_Toc9537762"/>
      <w:r>
        <w:lastRenderedPageBreak/>
        <w:t>DEDICATORIA</w:t>
      </w:r>
      <w:bookmarkEnd w:id="2"/>
    </w:p>
    <w:p w:rsidR="001B7ACB" w:rsidRPr="00686018" w:rsidRDefault="001B7ACB" w:rsidP="001B7ACB">
      <w:pPr>
        <w:rPr>
          <w:rFonts w:ascii="Times New Roman" w:hAnsi="Times New Roman" w:cs="Times New Roman"/>
          <w:color w:val="000000"/>
          <w:sz w:val="24"/>
        </w:rPr>
      </w:pPr>
    </w:p>
    <w:p w:rsidR="00AF32DD" w:rsidRPr="00EF5B03" w:rsidRDefault="00AF32DD" w:rsidP="00AF32DD">
      <w:pPr>
        <w:jc w:val="both"/>
        <w:rPr>
          <w:rFonts w:ascii="Times New Roman" w:hAnsi="Times New Roman" w:cs="Times New Roman"/>
          <w:sz w:val="24"/>
          <w:szCs w:val="24"/>
        </w:rPr>
      </w:pPr>
      <w:r w:rsidRPr="00EF5B03">
        <w:rPr>
          <w:rFonts w:ascii="Times New Roman" w:hAnsi="Times New Roman" w:cs="Times New Roman"/>
          <w:b/>
          <w:sz w:val="24"/>
          <w:szCs w:val="24"/>
        </w:rPr>
        <w:t>DIOS:</w:t>
      </w:r>
      <w:r w:rsidRPr="00EF5B03">
        <w:rPr>
          <w:rFonts w:ascii="Times New Roman" w:hAnsi="Times New Roman" w:cs="Times New Roman"/>
          <w:sz w:val="24"/>
          <w:szCs w:val="24"/>
        </w:rPr>
        <w:t xml:space="preserve"> Este trabajo te dedico a ti padre c</w:t>
      </w:r>
      <w:r w:rsidR="00F45F4C">
        <w:rPr>
          <w:rFonts w:ascii="Times New Roman" w:hAnsi="Times New Roman" w:cs="Times New Roman"/>
          <w:sz w:val="24"/>
          <w:szCs w:val="24"/>
        </w:rPr>
        <w:t xml:space="preserve">elestial por tú amor infinito, </w:t>
      </w:r>
      <w:r w:rsidRPr="00EF5B03">
        <w:rPr>
          <w:rFonts w:ascii="Times New Roman" w:hAnsi="Times New Roman" w:cs="Times New Roman"/>
          <w:sz w:val="24"/>
          <w:szCs w:val="24"/>
        </w:rPr>
        <w:t xml:space="preserve">confianza y protección, siendo una luz en mi vida. </w:t>
      </w:r>
    </w:p>
    <w:p w:rsidR="00AF32DD" w:rsidRPr="00EF5B03" w:rsidRDefault="00AF32DD" w:rsidP="00AF32DD">
      <w:pPr>
        <w:jc w:val="both"/>
        <w:rPr>
          <w:rFonts w:ascii="Times New Roman" w:hAnsi="Times New Roman" w:cs="Times New Roman"/>
          <w:sz w:val="24"/>
          <w:szCs w:val="24"/>
        </w:rPr>
      </w:pPr>
      <w:r w:rsidRPr="00EF5B03">
        <w:rPr>
          <w:rFonts w:ascii="Times New Roman" w:hAnsi="Times New Roman" w:cs="Times New Roman"/>
          <w:b/>
          <w:sz w:val="24"/>
          <w:szCs w:val="24"/>
        </w:rPr>
        <w:t>A MIS PADRES:</w:t>
      </w:r>
      <w:r w:rsidRPr="00EF5B03">
        <w:rPr>
          <w:rFonts w:ascii="Times New Roman" w:hAnsi="Times New Roman" w:cs="Times New Roman"/>
          <w:sz w:val="24"/>
          <w:szCs w:val="24"/>
        </w:rPr>
        <w:t xml:space="preserve"> Con amor dedico a mis padres por su esfuerzo, perseverancia y apoyo, no hubiese sido posible todo lo que soy es gracias a ustedes. </w:t>
      </w:r>
    </w:p>
    <w:p w:rsidR="00AF32DD" w:rsidRPr="00EF5B03" w:rsidRDefault="00AF32DD" w:rsidP="00AF32DD">
      <w:pPr>
        <w:jc w:val="both"/>
        <w:rPr>
          <w:rFonts w:ascii="Times New Roman" w:hAnsi="Times New Roman" w:cs="Times New Roman"/>
          <w:sz w:val="24"/>
          <w:szCs w:val="24"/>
        </w:rPr>
      </w:pPr>
      <w:r w:rsidRPr="00EF5B03">
        <w:rPr>
          <w:rFonts w:ascii="Times New Roman" w:hAnsi="Times New Roman" w:cs="Times New Roman"/>
          <w:sz w:val="24"/>
          <w:szCs w:val="24"/>
        </w:rPr>
        <w:t xml:space="preserve"> </w:t>
      </w:r>
      <w:r w:rsidRPr="00EF5B03">
        <w:rPr>
          <w:rFonts w:ascii="Times New Roman" w:hAnsi="Times New Roman" w:cs="Times New Roman"/>
          <w:b/>
          <w:sz w:val="24"/>
          <w:szCs w:val="24"/>
        </w:rPr>
        <w:t>A MIS HERMANOS:</w:t>
      </w:r>
      <w:r w:rsidRPr="00EF5B03">
        <w:rPr>
          <w:rFonts w:ascii="Times New Roman" w:hAnsi="Times New Roman" w:cs="Times New Roman"/>
          <w:sz w:val="24"/>
          <w:szCs w:val="24"/>
        </w:rPr>
        <w:t xml:space="preserve"> Por ser el regalo más grande que me pudieron dar mis padres, por enseñarme a compartir, el valor del amor y superación. </w:t>
      </w:r>
    </w:p>
    <w:p w:rsidR="00AF32DD" w:rsidRPr="00EF5B03" w:rsidRDefault="00AF32DD" w:rsidP="00AF32DD">
      <w:pPr>
        <w:jc w:val="both"/>
        <w:rPr>
          <w:rFonts w:ascii="Times New Roman" w:hAnsi="Times New Roman" w:cs="Times New Roman"/>
          <w:sz w:val="24"/>
          <w:szCs w:val="24"/>
        </w:rPr>
      </w:pPr>
      <w:r w:rsidRPr="00EF5B03">
        <w:rPr>
          <w:rFonts w:ascii="Times New Roman" w:hAnsi="Times New Roman" w:cs="Times New Roman"/>
          <w:b/>
          <w:sz w:val="24"/>
          <w:szCs w:val="24"/>
        </w:rPr>
        <w:t>A MI COMPAÑERO DE TESIS:</w:t>
      </w:r>
      <w:r w:rsidRPr="00EF5B03">
        <w:rPr>
          <w:rFonts w:ascii="Times New Roman" w:hAnsi="Times New Roman" w:cs="Times New Roman"/>
          <w:sz w:val="24"/>
          <w:szCs w:val="24"/>
        </w:rPr>
        <w:t xml:space="preserve"> David Pilamunga, gracias por acompañarme en estos momentos de mi vida, es</w:t>
      </w:r>
      <w:r w:rsidR="00F45F4C">
        <w:rPr>
          <w:rFonts w:ascii="Times New Roman" w:hAnsi="Times New Roman" w:cs="Times New Roman"/>
          <w:sz w:val="24"/>
          <w:szCs w:val="24"/>
        </w:rPr>
        <w:t xml:space="preserve">toy muy orgullosa y agradecida </w:t>
      </w:r>
      <w:r w:rsidRPr="00EF5B03">
        <w:rPr>
          <w:rFonts w:ascii="Times New Roman" w:hAnsi="Times New Roman" w:cs="Times New Roman"/>
          <w:sz w:val="24"/>
          <w:szCs w:val="24"/>
        </w:rPr>
        <w:t xml:space="preserve">por </w:t>
      </w:r>
      <w:r w:rsidR="00F45F4C">
        <w:rPr>
          <w:rFonts w:ascii="Times New Roman" w:hAnsi="Times New Roman" w:cs="Times New Roman"/>
          <w:sz w:val="24"/>
          <w:szCs w:val="24"/>
        </w:rPr>
        <w:t xml:space="preserve">ser mi amigo, compañero, guía, </w:t>
      </w:r>
      <w:r w:rsidRPr="00EF5B03">
        <w:rPr>
          <w:rFonts w:ascii="Times New Roman" w:hAnsi="Times New Roman" w:cs="Times New Roman"/>
          <w:sz w:val="24"/>
          <w:szCs w:val="24"/>
        </w:rPr>
        <w:t>c</w:t>
      </w:r>
      <w:r>
        <w:rPr>
          <w:rFonts w:ascii="Times New Roman" w:hAnsi="Times New Roman" w:cs="Times New Roman"/>
          <w:sz w:val="24"/>
          <w:szCs w:val="24"/>
        </w:rPr>
        <w:t>onsejero. Gracias por estar con</w:t>
      </w:r>
      <w:r w:rsidRPr="00EF5B03">
        <w:rPr>
          <w:rFonts w:ascii="Times New Roman" w:hAnsi="Times New Roman" w:cs="Times New Roman"/>
          <w:sz w:val="24"/>
          <w:szCs w:val="24"/>
        </w:rPr>
        <w:t xml:space="preserve">migo en los momentos de alegría y </w:t>
      </w:r>
      <w:r w:rsidR="00F45F4C" w:rsidRPr="00EF5B03">
        <w:rPr>
          <w:rFonts w:ascii="Times New Roman" w:hAnsi="Times New Roman" w:cs="Times New Roman"/>
          <w:sz w:val="24"/>
          <w:szCs w:val="24"/>
        </w:rPr>
        <w:t>tristeza,</w:t>
      </w:r>
      <w:r w:rsidRPr="00EF5B03">
        <w:rPr>
          <w:rFonts w:ascii="Times New Roman" w:hAnsi="Times New Roman" w:cs="Times New Roman"/>
          <w:sz w:val="24"/>
          <w:szCs w:val="24"/>
        </w:rPr>
        <w:t xml:space="preserve"> así como también enseñarme a sacar lo mejor de cada cosa. </w:t>
      </w:r>
    </w:p>
    <w:p w:rsidR="00AF32DD" w:rsidRPr="00EF5B03"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Pr="00EF5B03" w:rsidRDefault="00AF32DD" w:rsidP="00AF32DD">
      <w:pPr>
        <w:rPr>
          <w:rFonts w:ascii="Times New Roman" w:hAnsi="Times New Roman" w:cs="Times New Roman"/>
          <w:sz w:val="24"/>
          <w:szCs w:val="24"/>
        </w:rPr>
      </w:pPr>
    </w:p>
    <w:p w:rsidR="00AF32DD" w:rsidRPr="00EF5B03" w:rsidRDefault="00B639AA" w:rsidP="00AF32DD">
      <w:pPr>
        <w:jc w:val="right"/>
        <w:rPr>
          <w:rFonts w:ascii="Times New Roman" w:hAnsi="Times New Roman" w:cs="Times New Roman"/>
          <w:i/>
          <w:sz w:val="24"/>
          <w:szCs w:val="24"/>
        </w:rPr>
      </w:pPr>
      <w:r>
        <w:rPr>
          <w:rFonts w:ascii="Times New Roman" w:hAnsi="Times New Roman" w:cs="Times New Roman"/>
          <w:i/>
          <w:sz w:val="24"/>
          <w:szCs w:val="24"/>
        </w:rPr>
        <w:t>Irma Cumandá</w:t>
      </w:r>
      <w:r w:rsidR="00AF32DD" w:rsidRPr="00EF5B03">
        <w:rPr>
          <w:rFonts w:ascii="Times New Roman" w:hAnsi="Times New Roman" w:cs="Times New Roman"/>
          <w:i/>
          <w:sz w:val="24"/>
          <w:szCs w:val="24"/>
        </w:rPr>
        <w:t xml:space="preserve"> Cano Guanuche</w:t>
      </w: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pStyle w:val="Ttulo7"/>
        <w:jc w:val="center"/>
      </w:pPr>
      <w:bookmarkStart w:id="3" w:name="_Toc9501797"/>
      <w:bookmarkStart w:id="4" w:name="_Toc9537763"/>
      <w:r w:rsidRPr="001B7ACB">
        <w:lastRenderedPageBreak/>
        <w:t>AGRADECIMIENTOS</w:t>
      </w:r>
      <w:bookmarkEnd w:id="3"/>
      <w:bookmarkEnd w:id="4"/>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Pr="00EF5B03" w:rsidRDefault="00AF32DD" w:rsidP="00AF32DD">
      <w:pPr>
        <w:jc w:val="both"/>
        <w:rPr>
          <w:rFonts w:ascii="Times New Roman" w:hAnsi="Times New Roman" w:cs="Times New Roman"/>
          <w:sz w:val="24"/>
          <w:szCs w:val="24"/>
        </w:rPr>
      </w:pPr>
      <w:r w:rsidRPr="00EF5B03">
        <w:rPr>
          <w:rFonts w:ascii="Times New Roman" w:hAnsi="Times New Roman" w:cs="Times New Roman"/>
          <w:sz w:val="24"/>
          <w:szCs w:val="24"/>
        </w:rPr>
        <w:t xml:space="preserve">Al concluir una etapa maravillosa de mi vida quiero extender un profundo agradecimiento, a todas las personas que formaron parte de mi diario vivir, haciendo posible alcanzar mis sueños, siendo mí apoyo, inspiración y fortaleza.  </w:t>
      </w:r>
    </w:p>
    <w:p w:rsidR="00AF32DD" w:rsidRPr="00EF5B03" w:rsidRDefault="00AF32DD" w:rsidP="00AF32DD">
      <w:pPr>
        <w:jc w:val="both"/>
        <w:rPr>
          <w:rFonts w:ascii="Times New Roman" w:hAnsi="Times New Roman" w:cs="Times New Roman"/>
          <w:sz w:val="24"/>
          <w:szCs w:val="24"/>
        </w:rPr>
      </w:pPr>
      <w:r w:rsidRPr="00EF5B03">
        <w:rPr>
          <w:rFonts w:ascii="Times New Roman" w:hAnsi="Times New Roman" w:cs="Times New Roman"/>
          <w:sz w:val="24"/>
          <w:szCs w:val="24"/>
        </w:rPr>
        <w:t xml:space="preserve">Esta mención en especial para DIOS, mis padres Esperanza, Julio y </w:t>
      </w:r>
      <w:r w:rsidR="00F45F4C" w:rsidRPr="00EF5B03">
        <w:rPr>
          <w:rFonts w:ascii="Times New Roman" w:hAnsi="Times New Roman" w:cs="Times New Roman"/>
          <w:sz w:val="24"/>
          <w:szCs w:val="24"/>
        </w:rPr>
        <w:t>hermanos como</w:t>
      </w:r>
      <w:r w:rsidRPr="00EF5B03">
        <w:rPr>
          <w:rFonts w:ascii="Times New Roman" w:hAnsi="Times New Roman" w:cs="Times New Roman"/>
          <w:sz w:val="24"/>
          <w:szCs w:val="24"/>
        </w:rPr>
        <w:t xml:space="preserve"> </w:t>
      </w:r>
      <w:r w:rsidR="00F45F4C" w:rsidRPr="00EF5B03">
        <w:rPr>
          <w:rFonts w:ascii="Times New Roman" w:hAnsi="Times New Roman" w:cs="Times New Roman"/>
          <w:sz w:val="24"/>
          <w:szCs w:val="24"/>
        </w:rPr>
        <w:t>también a</w:t>
      </w:r>
      <w:r w:rsidRPr="00EF5B03">
        <w:rPr>
          <w:rFonts w:ascii="Times New Roman" w:hAnsi="Times New Roman" w:cs="Times New Roman"/>
          <w:sz w:val="24"/>
          <w:szCs w:val="24"/>
        </w:rPr>
        <w:t xml:space="preserve"> mí compañero de </w:t>
      </w:r>
      <w:r w:rsidR="00F45F4C" w:rsidRPr="00EF5B03">
        <w:rPr>
          <w:rFonts w:ascii="Times New Roman" w:hAnsi="Times New Roman" w:cs="Times New Roman"/>
          <w:sz w:val="24"/>
          <w:szCs w:val="24"/>
        </w:rPr>
        <w:t>tesis David</w:t>
      </w:r>
      <w:r w:rsidRPr="00EF5B03">
        <w:rPr>
          <w:rFonts w:ascii="Times New Roman" w:hAnsi="Times New Roman" w:cs="Times New Roman"/>
          <w:sz w:val="24"/>
          <w:szCs w:val="24"/>
        </w:rPr>
        <w:t xml:space="preserve"> Pilamunga.  </w:t>
      </w:r>
    </w:p>
    <w:p w:rsidR="00AF32DD" w:rsidRPr="00EF5B03" w:rsidRDefault="00AF32DD" w:rsidP="00AF32DD">
      <w:pPr>
        <w:jc w:val="both"/>
        <w:rPr>
          <w:rFonts w:ascii="Times New Roman" w:hAnsi="Times New Roman" w:cs="Times New Roman"/>
          <w:sz w:val="24"/>
          <w:szCs w:val="24"/>
        </w:rPr>
      </w:pPr>
      <w:r w:rsidRPr="00EF5B03">
        <w:rPr>
          <w:rFonts w:ascii="Times New Roman" w:hAnsi="Times New Roman" w:cs="Times New Roman"/>
          <w:sz w:val="24"/>
          <w:szCs w:val="24"/>
        </w:rPr>
        <w:t>Muchas gracias a ustedes por demostrarme que “"El verdadero amor no es otra cosa que el deseo inevitable de ayudar al otro para que sea quien es."</w:t>
      </w:r>
    </w:p>
    <w:p w:rsidR="00AF32DD" w:rsidRPr="00EF5B03" w:rsidRDefault="00AF32DD" w:rsidP="00AF32DD">
      <w:pPr>
        <w:jc w:val="both"/>
        <w:rPr>
          <w:rFonts w:ascii="Times New Roman" w:hAnsi="Times New Roman" w:cs="Times New Roman"/>
          <w:sz w:val="24"/>
          <w:szCs w:val="24"/>
        </w:rPr>
      </w:pPr>
      <w:r w:rsidRPr="00EF5B03">
        <w:rPr>
          <w:rFonts w:ascii="Times New Roman" w:hAnsi="Times New Roman" w:cs="Times New Roman"/>
          <w:sz w:val="24"/>
          <w:szCs w:val="24"/>
        </w:rPr>
        <w:t xml:space="preserve">Mi gratitud a las Autoridades de la UEB y a la carrera de Ingeniería Agroindustrial, docentes, quienes me impartieron su conocimiento y apoyo constituyendo la base en mi vida profesional. </w:t>
      </w: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Pr="00EF5B03" w:rsidRDefault="00AF32DD" w:rsidP="00AF32DD">
      <w:pPr>
        <w:rPr>
          <w:rFonts w:ascii="Times New Roman" w:hAnsi="Times New Roman" w:cs="Times New Roman"/>
          <w:sz w:val="24"/>
          <w:szCs w:val="24"/>
        </w:rPr>
      </w:pPr>
    </w:p>
    <w:p w:rsidR="00AF32DD" w:rsidRPr="00EF5B03" w:rsidRDefault="00AF32DD" w:rsidP="00AF32DD">
      <w:pPr>
        <w:rPr>
          <w:rFonts w:ascii="Times New Roman" w:hAnsi="Times New Roman" w:cs="Times New Roman"/>
          <w:sz w:val="24"/>
          <w:szCs w:val="24"/>
        </w:rPr>
      </w:pPr>
    </w:p>
    <w:p w:rsidR="00AF32DD" w:rsidRPr="00EF5B03" w:rsidRDefault="00AF32DD" w:rsidP="00AF32DD">
      <w:pPr>
        <w:rPr>
          <w:rFonts w:ascii="Times New Roman" w:hAnsi="Times New Roman" w:cs="Times New Roman"/>
          <w:sz w:val="24"/>
          <w:szCs w:val="24"/>
        </w:rPr>
      </w:pPr>
    </w:p>
    <w:p w:rsidR="00AF32DD" w:rsidRPr="00EF5B03" w:rsidRDefault="00B639AA" w:rsidP="00AF32DD">
      <w:pPr>
        <w:jc w:val="right"/>
        <w:rPr>
          <w:rFonts w:ascii="Times New Roman" w:hAnsi="Times New Roman" w:cs="Times New Roman"/>
          <w:i/>
          <w:sz w:val="24"/>
          <w:szCs w:val="24"/>
        </w:rPr>
      </w:pPr>
      <w:r>
        <w:rPr>
          <w:rFonts w:ascii="Times New Roman" w:hAnsi="Times New Roman" w:cs="Times New Roman"/>
          <w:i/>
          <w:sz w:val="24"/>
          <w:szCs w:val="24"/>
        </w:rPr>
        <w:t>Irma Cumandá</w:t>
      </w:r>
      <w:r w:rsidR="00AF32DD" w:rsidRPr="00EF5B03">
        <w:rPr>
          <w:rFonts w:ascii="Times New Roman" w:hAnsi="Times New Roman" w:cs="Times New Roman"/>
          <w:i/>
          <w:sz w:val="24"/>
          <w:szCs w:val="24"/>
        </w:rPr>
        <w:t xml:space="preserve"> Cano Guanuche</w:t>
      </w:r>
    </w:p>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Default="00AF32DD" w:rsidP="00AF32DD">
      <w:pPr>
        <w:pStyle w:val="Ttulo7"/>
        <w:jc w:val="center"/>
      </w:pPr>
      <w:bookmarkStart w:id="5" w:name="_Toc9501798"/>
      <w:bookmarkStart w:id="6" w:name="_Toc9537764"/>
      <w:r>
        <w:lastRenderedPageBreak/>
        <w:t>DEDICATORIA</w:t>
      </w:r>
      <w:bookmarkEnd w:id="5"/>
      <w:bookmarkEnd w:id="6"/>
    </w:p>
    <w:p w:rsidR="00AF32DD" w:rsidRPr="00EF5B03" w:rsidRDefault="00AF32DD" w:rsidP="00AF32DD"/>
    <w:p w:rsidR="00AF32DD" w:rsidRPr="00EF5B03" w:rsidRDefault="00AF32DD" w:rsidP="00AF32DD">
      <w:pPr>
        <w:jc w:val="both"/>
        <w:rPr>
          <w:rFonts w:ascii="Times New Roman" w:hAnsi="Times New Roman" w:cs="Times New Roman"/>
          <w:color w:val="000000"/>
          <w:sz w:val="24"/>
        </w:rPr>
      </w:pPr>
      <w:r w:rsidRPr="00EF5B03">
        <w:rPr>
          <w:rFonts w:ascii="Times New Roman" w:hAnsi="Times New Roman" w:cs="Times New Roman"/>
          <w:color w:val="000000"/>
          <w:sz w:val="24"/>
        </w:rPr>
        <w:t>El presente trabajo investigativo lo dedico principalmente a Dios, por haberme dado la fortaleza de espíritu y el don del entendimiento que me guiaron en el trascurso de este proyecto, por ser un escudo alrededor de mí, y el que levanta mi cabeza.</w:t>
      </w:r>
    </w:p>
    <w:p w:rsidR="00AF32DD" w:rsidRPr="00EF5B03" w:rsidRDefault="00AF32DD" w:rsidP="00AF32DD">
      <w:pPr>
        <w:jc w:val="both"/>
        <w:rPr>
          <w:rFonts w:ascii="Times New Roman" w:hAnsi="Times New Roman" w:cs="Times New Roman"/>
          <w:color w:val="000000"/>
          <w:sz w:val="24"/>
        </w:rPr>
      </w:pPr>
      <w:r w:rsidRPr="00EF5B03">
        <w:rPr>
          <w:rFonts w:ascii="Times New Roman" w:hAnsi="Times New Roman" w:cs="Times New Roman"/>
          <w:color w:val="000000"/>
          <w:sz w:val="24"/>
        </w:rPr>
        <w:t>A mis padres amados Rosa y Luis, por su cariño, trabajo y sacrificio en todos estos años, gracias a ellos he logrado llegar hasta este punto de mi formación profesional. Ha sido un orgullo y privilegio ser su hijo, son los mejores.</w:t>
      </w:r>
    </w:p>
    <w:p w:rsidR="00AF32DD" w:rsidRPr="00EF5B03" w:rsidRDefault="00AF32DD" w:rsidP="00AF32DD">
      <w:pPr>
        <w:jc w:val="both"/>
        <w:rPr>
          <w:rFonts w:ascii="Times New Roman" w:hAnsi="Times New Roman" w:cs="Times New Roman"/>
          <w:color w:val="000000"/>
          <w:sz w:val="24"/>
        </w:rPr>
      </w:pPr>
      <w:r w:rsidRPr="00EF5B03">
        <w:rPr>
          <w:rFonts w:ascii="Times New Roman" w:hAnsi="Times New Roman" w:cs="Times New Roman"/>
          <w:color w:val="000000"/>
          <w:sz w:val="24"/>
        </w:rPr>
        <w:t>A mis hermanos, por el apoyo moral que me brindaron a lo largo de esta etapa de mi vida, por su entera preocupación respecto a mi formación.</w:t>
      </w:r>
    </w:p>
    <w:p w:rsidR="00AF32DD" w:rsidRPr="00EF5B03" w:rsidRDefault="00AF32DD" w:rsidP="00AF32DD">
      <w:pPr>
        <w:jc w:val="both"/>
        <w:rPr>
          <w:rFonts w:ascii="Times New Roman" w:hAnsi="Times New Roman" w:cs="Times New Roman"/>
          <w:color w:val="000000"/>
          <w:sz w:val="24"/>
        </w:rPr>
      </w:pPr>
      <w:r w:rsidRPr="00EF5B03">
        <w:rPr>
          <w:rFonts w:ascii="Times New Roman" w:hAnsi="Times New Roman" w:cs="Times New Roman"/>
          <w:color w:val="000000"/>
          <w:sz w:val="24"/>
        </w:rPr>
        <w:t>Finalmente quiero dedicar esta tes</w:t>
      </w:r>
      <w:r>
        <w:rPr>
          <w:rFonts w:ascii="Times New Roman" w:hAnsi="Times New Roman" w:cs="Times New Roman"/>
          <w:color w:val="000000"/>
          <w:sz w:val="24"/>
        </w:rPr>
        <w:t>is a mi compañera</w:t>
      </w:r>
      <w:r w:rsidR="00F45F4C">
        <w:rPr>
          <w:rFonts w:ascii="Times New Roman" w:hAnsi="Times New Roman" w:cs="Times New Roman"/>
          <w:color w:val="000000"/>
          <w:sz w:val="24"/>
        </w:rPr>
        <w:t xml:space="preserve"> de clase y tesis también</w:t>
      </w:r>
      <w:r>
        <w:rPr>
          <w:rFonts w:ascii="Times New Roman" w:hAnsi="Times New Roman" w:cs="Times New Roman"/>
          <w:color w:val="000000"/>
          <w:sz w:val="24"/>
        </w:rPr>
        <w:t xml:space="preserve"> Irmita</w:t>
      </w:r>
      <w:r w:rsidRPr="00EF5B03">
        <w:rPr>
          <w:rFonts w:ascii="Times New Roman" w:hAnsi="Times New Roman" w:cs="Times New Roman"/>
          <w:color w:val="000000"/>
          <w:sz w:val="24"/>
        </w:rPr>
        <w:t xml:space="preserve"> Cano, por </w:t>
      </w:r>
      <w:r>
        <w:rPr>
          <w:rFonts w:ascii="Times New Roman" w:hAnsi="Times New Roman" w:cs="Times New Roman"/>
          <w:color w:val="000000"/>
          <w:sz w:val="24"/>
        </w:rPr>
        <w:t xml:space="preserve">acompañarme en este camino brindándome </w:t>
      </w:r>
      <w:r w:rsidRPr="00EF5B03">
        <w:rPr>
          <w:rFonts w:ascii="Times New Roman" w:hAnsi="Times New Roman" w:cs="Times New Roman"/>
          <w:color w:val="000000"/>
          <w:sz w:val="24"/>
        </w:rPr>
        <w:t>su ayuda constante e incondicional, por apoyarme en los momentos difíciles y darme ánimos, por su fortaleza decisiva</w:t>
      </w:r>
      <w:r>
        <w:rPr>
          <w:rFonts w:ascii="Times New Roman" w:hAnsi="Times New Roman" w:cs="Times New Roman"/>
          <w:color w:val="000000"/>
          <w:sz w:val="24"/>
        </w:rPr>
        <w:t>, por enseñarme a ver más allá de lo común</w:t>
      </w:r>
      <w:r w:rsidRPr="00EF5B03">
        <w:rPr>
          <w:rFonts w:ascii="Times New Roman" w:hAnsi="Times New Roman" w:cs="Times New Roman"/>
          <w:color w:val="000000"/>
          <w:sz w:val="24"/>
        </w:rPr>
        <w:t xml:space="preserve"> y por su </w:t>
      </w:r>
      <w:r>
        <w:rPr>
          <w:rFonts w:ascii="Times New Roman" w:hAnsi="Times New Roman" w:cs="Times New Roman"/>
          <w:color w:val="000000"/>
          <w:sz w:val="24"/>
        </w:rPr>
        <w:t>compañía sin límites.</w:t>
      </w:r>
      <w:r w:rsidRPr="00EF5B03">
        <w:rPr>
          <w:rFonts w:ascii="Times New Roman" w:hAnsi="Times New Roman" w:cs="Times New Roman"/>
          <w:color w:val="000000"/>
          <w:sz w:val="24"/>
        </w:rPr>
        <w:t xml:space="preserve"> </w:t>
      </w:r>
    </w:p>
    <w:p w:rsidR="00AF32DD" w:rsidRPr="00EF5B03" w:rsidRDefault="00AF32DD" w:rsidP="00AF32DD">
      <w:pPr>
        <w:rPr>
          <w:rFonts w:ascii="Times New Roman" w:hAnsi="Times New Roman" w:cs="Times New Roman"/>
          <w:color w:val="000000"/>
          <w:sz w:val="24"/>
        </w:rPr>
      </w:pPr>
    </w:p>
    <w:p w:rsidR="00AF32DD" w:rsidRPr="00EF5B03" w:rsidRDefault="00AF32DD" w:rsidP="00AF32DD">
      <w:pPr>
        <w:rPr>
          <w:rFonts w:ascii="Times New Roman" w:hAnsi="Times New Roman" w:cs="Times New Roman"/>
          <w:color w:val="000000"/>
          <w:sz w:val="24"/>
        </w:rPr>
      </w:pPr>
    </w:p>
    <w:p w:rsidR="00AF32DD" w:rsidRPr="00EF5B03" w:rsidRDefault="00AF32DD" w:rsidP="00AF32DD">
      <w:pPr>
        <w:rPr>
          <w:rFonts w:ascii="Times New Roman" w:hAnsi="Times New Roman" w:cs="Times New Roman"/>
          <w:color w:val="000000"/>
          <w:sz w:val="24"/>
        </w:rPr>
      </w:pPr>
    </w:p>
    <w:p w:rsidR="00AF32DD" w:rsidRPr="00EF5B03" w:rsidRDefault="00AF32DD" w:rsidP="00AF32DD">
      <w:pPr>
        <w:rPr>
          <w:rFonts w:ascii="Times New Roman" w:hAnsi="Times New Roman" w:cs="Times New Roman"/>
          <w:color w:val="000000"/>
          <w:sz w:val="24"/>
        </w:rPr>
      </w:pPr>
    </w:p>
    <w:p w:rsidR="00AF32DD" w:rsidRPr="00EF5B03" w:rsidRDefault="00AF32DD" w:rsidP="00AF32DD">
      <w:pPr>
        <w:rPr>
          <w:rFonts w:ascii="Times New Roman" w:hAnsi="Times New Roman" w:cs="Times New Roman"/>
          <w:color w:val="000000"/>
          <w:sz w:val="24"/>
        </w:rPr>
      </w:pPr>
    </w:p>
    <w:p w:rsidR="00AF32DD" w:rsidRPr="00EF5B03" w:rsidRDefault="00AF32DD" w:rsidP="00AF32DD">
      <w:pPr>
        <w:jc w:val="right"/>
        <w:rPr>
          <w:rFonts w:ascii="Times New Roman" w:hAnsi="Times New Roman" w:cs="Times New Roman"/>
          <w:i/>
          <w:color w:val="000000"/>
          <w:sz w:val="24"/>
        </w:rPr>
      </w:pPr>
      <w:r w:rsidRPr="00EF5B03">
        <w:rPr>
          <w:rFonts w:ascii="Times New Roman" w:hAnsi="Times New Roman" w:cs="Times New Roman"/>
          <w:i/>
          <w:color w:val="000000"/>
          <w:sz w:val="24"/>
        </w:rPr>
        <w:t>Luis David Pilamunga Hurtado</w:t>
      </w: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jc w:val="center"/>
        <w:rPr>
          <w:rFonts w:ascii="Times New Roman" w:hAnsi="Times New Roman" w:cs="Times New Roman"/>
          <w:sz w:val="24"/>
          <w:szCs w:val="24"/>
        </w:rPr>
      </w:pPr>
    </w:p>
    <w:p w:rsidR="00AF32DD" w:rsidRDefault="00AF32DD" w:rsidP="00AF32DD">
      <w:pPr>
        <w:rPr>
          <w:rFonts w:ascii="Times New Roman" w:hAnsi="Times New Roman" w:cs="Times New Roman"/>
          <w:sz w:val="24"/>
          <w:szCs w:val="24"/>
        </w:rPr>
      </w:pPr>
    </w:p>
    <w:p w:rsidR="00AF32DD" w:rsidRDefault="00AF32DD" w:rsidP="00AF32DD">
      <w:pPr>
        <w:pStyle w:val="Ttulo7"/>
        <w:jc w:val="center"/>
      </w:pPr>
      <w:bookmarkStart w:id="7" w:name="_Toc9501799"/>
      <w:bookmarkStart w:id="8" w:name="_Toc9537765"/>
      <w:r w:rsidRPr="001B7ACB">
        <w:lastRenderedPageBreak/>
        <w:t>AGRADECIMIENTOS</w:t>
      </w:r>
      <w:bookmarkEnd w:id="7"/>
      <w:bookmarkEnd w:id="8"/>
    </w:p>
    <w:p w:rsidR="00AF32DD" w:rsidRDefault="00AF32DD" w:rsidP="00AF32DD"/>
    <w:p w:rsidR="00AF32DD" w:rsidRPr="00EF5B03" w:rsidRDefault="00AF32DD" w:rsidP="00AF32DD">
      <w:pPr>
        <w:jc w:val="both"/>
        <w:rPr>
          <w:rFonts w:ascii="Times New Roman" w:hAnsi="Times New Roman" w:cs="Times New Roman"/>
          <w:sz w:val="24"/>
        </w:rPr>
      </w:pPr>
      <w:r w:rsidRPr="00EF5B03">
        <w:rPr>
          <w:rFonts w:ascii="Times New Roman" w:hAnsi="Times New Roman" w:cs="Times New Roman"/>
          <w:sz w:val="24"/>
        </w:rPr>
        <w:t>Experimento un profundo sentimiento de gratitud por el desarrollo y culminación de este escalón en mi vida profesional. A mis padres y hermanos, por el apoyo incondicional que me brindaron a lo largo de mi trayectoria universitaria. Doy gracias así mismo a mi compañera Irma Cano, por su valioso apoyo y constante compañía.</w:t>
      </w:r>
    </w:p>
    <w:p w:rsidR="00AF32DD" w:rsidRPr="00EF5B03" w:rsidRDefault="00AF32DD" w:rsidP="00AF32DD">
      <w:pPr>
        <w:jc w:val="both"/>
        <w:rPr>
          <w:rFonts w:ascii="Times New Roman" w:hAnsi="Times New Roman" w:cs="Times New Roman"/>
          <w:sz w:val="24"/>
        </w:rPr>
      </w:pPr>
      <w:r w:rsidRPr="00EF5B03">
        <w:rPr>
          <w:rFonts w:ascii="Times New Roman" w:hAnsi="Times New Roman" w:cs="Times New Roman"/>
          <w:sz w:val="24"/>
        </w:rPr>
        <w:t xml:space="preserve"> Mi gratitud a las Autoridades, carrera</w:t>
      </w:r>
      <w:r w:rsidR="00F45F4C">
        <w:rPr>
          <w:rFonts w:ascii="Times New Roman" w:hAnsi="Times New Roman" w:cs="Times New Roman"/>
          <w:sz w:val="24"/>
        </w:rPr>
        <w:t xml:space="preserve"> de Ingeniería Agroindustria y </w:t>
      </w:r>
      <w:r w:rsidRPr="00EF5B03">
        <w:rPr>
          <w:rFonts w:ascii="Times New Roman" w:hAnsi="Times New Roman" w:cs="Times New Roman"/>
          <w:sz w:val="24"/>
        </w:rPr>
        <w:t>maestros  de la Universidad Estatal de Bolívar, quienes me abrieron las puertas, del conocimiento.</w:t>
      </w:r>
    </w:p>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Default="00AF32DD" w:rsidP="00AF32DD"/>
    <w:p w:rsidR="00AF32DD" w:rsidRPr="00EF5B03" w:rsidRDefault="00AF32DD" w:rsidP="00AF32DD">
      <w:pPr>
        <w:jc w:val="right"/>
        <w:rPr>
          <w:rFonts w:ascii="Times New Roman" w:hAnsi="Times New Roman" w:cs="Times New Roman"/>
          <w:i/>
          <w:color w:val="000000"/>
          <w:sz w:val="24"/>
        </w:rPr>
      </w:pPr>
      <w:r>
        <w:tab/>
      </w:r>
      <w:r w:rsidRPr="00EF5B03">
        <w:rPr>
          <w:rFonts w:ascii="Times New Roman" w:hAnsi="Times New Roman" w:cs="Times New Roman"/>
          <w:i/>
          <w:color w:val="000000"/>
          <w:sz w:val="24"/>
        </w:rPr>
        <w:t>Luis David Pilamunga Hurtado</w:t>
      </w:r>
    </w:p>
    <w:p w:rsidR="000B0554" w:rsidRDefault="000B0554"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3A1ACF">
      <w:pPr>
        <w:jc w:val="center"/>
        <w:rPr>
          <w:rFonts w:ascii="Times New Roman" w:hAnsi="Times New Roman" w:cs="Times New Roman"/>
          <w:sz w:val="24"/>
          <w:szCs w:val="24"/>
        </w:rPr>
      </w:pPr>
    </w:p>
    <w:p w:rsidR="001B7ACB" w:rsidRDefault="001B7ACB" w:rsidP="001B7ACB"/>
    <w:p w:rsidR="002B5EB6" w:rsidRPr="001B7ACB" w:rsidRDefault="002B5EB6" w:rsidP="001B7ACB"/>
    <w:p w:rsidR="0070546B" w:rsidRPr="00686018" w:rsidRDefault="0070546B" w:rsidP="00A31608">
      <w:pPr>
        <w:pStyle w:val="Ttulo7"/>
        <w:jc w:val="both"/>
        <w:rPr>
          <w:rFonts w:cs="Times New Roman"/>
          <w:sz w:val="36"/>
          <w:szCs w:val="32"/>
          <w:lang w:val="es-ES"/>
        </w:rPr>
      </w:pPr>
      <w:bookmarkStart w:id="9" w:name="_Toc9537766"/>
      <w:r w:rsidRPr="00686018">
        <w:rPr>
          <w:rFonts w:cs="Times New Roman"/>
          <w:sz w:val="28"/>
          <w:lang w:val="es-ES"/>
        </w:rPr>
        <w:lastRenderedPageBreak/>
        <w:t>Índice de contenidos</w:t>
      </w:r>
      <w:bookmarkEnd w:id="9"/>
    </w:p>
    <w:sdt>
      <w:sdtPr>
        <w:rPr>
          <w:rFonts w:asciiTheme="minorHAnsi" w:eastAsiaTheme="minorHAnsi" w:hAnsiTheme="minorHAnsi" w:cs="Times New Roman"/>
          <w:color w:val="auto"/>
          <w:sz w:val="22"/>
          <w:szCs w:val="22"/>
          <w:lang w:val="es-ES" w:eastAsia="en-US"/>
        </w:rPr>
        <w:id w:val="-1082448432"/>
        <w:docPartObj>
          <w:docPartGallery w:val="Table of Contents"/>
          <w:docPartUnique/>
        </w:docPartObj>
      </w:sdtPr>
      <w:sdtEndPr>
        <w:rPr>
          <w:b/>
          <w:bCs/>
        </w:rPr>
      </w:sdtEndPr>
      <w:sdtContent>
        <w:p w:rsidR="00DC5C9C" w:rsidRPr="00CB4CF6" w:rsidRDefault="00E15592" w:rsidP="00A31608">
          <w:pPr>
            <w:pStyle w:val="TtuloTDC"/>
            <w:tabs>
              <w:tab w:val="center" w:pos="4394"/>
              <w:tab w:val="left" w:pos="6789"/>
            </w:tabs>
            <w:jc w:val="both"/>
            <w:rPr>
              <w:rFonts w:cs="Times New Roman"/>
              <w:b/>
              <w:color w:val="auto"/>
            </w:rPr>
          </w:pPr>
          <w:r w:rsidRPr="00CB4CF6">
            <w:rPr>
              <w:rFonts w:eastAsiaTheme="minorHAnsi" w:cs="Times New Roman"/>
              <w:b/>
              <w:color w:val="auto"/>
              <w:sz w:val="22"/>
              <w:szCs w:val="22"/>
              <w:lang w:val="es-ES" w:eastAsia="en-US"/>
            </w:rPr>
            <w:t>CONTENIDO</w:t>
          </w:r>
          <w:r w:rsidRPr="00CB4CF6">
            <w:rPr>
              <w:rFonts w:cs="Times New Roman"/>
              <w:b/>
              <w:color w:val="auto"/>
              <w:lang w:val="es-ES"/>
            </w:rPr>
            <w:t xml:space="preserve">                                                                               </w:t>
          </w:r>
          <w:r w:rsidRPr="00CB4CF6">
            <w:rPr>
              <w:rFonts w:cs="Times New Roman"/>
              <w:b/>
              <w:color w:val="auto"/>
              <w:sz w:val="22"/>
              <w:szCs w:val="22"/>
              <w:lang w:val="es-ES"/>
            </w:rPr>
            <w:t>Pág.</w:t>
          </w:r>
          <w:r w:rsidR="00F56C72" w:rsidRPr="00CB4CF6">
            <w:rPr>
              <w:rFonts w:cs="Times New Roman"/>
              <w:b/>
              <w:color w:val="auto"/>
              <w:lang w:val="es-ES"/>
            </w:rPr>
            <w:tab/>
          </w:r>
        </w:p>
        <w:p w:rsidR="00CB4CF6" w:rsidRPr="00CB4CF6" w:rsidRDefault="00E15592">
          <w:pPr>
            <w:pStyle w:val="TDC1"/>
            <w:tabs>
              <w:tab w:val="right" w:pos="7927"/>
            </w:tabs>
            <w:rPr>
              <w:rFonts w:ascii="Times New Roman" w:eastAsiaTheme="minorEastAsia" w:hAnsi="Times New Roman" w:cs="Times New Roman"/>
              <w:b w:val="0"/>
              <w:bCs w:val="0"/>
              <w:caps w:val="0"/>
              <w:noProof/>
              <w:sz w:val="22"/>
              <w:szCs w:val="22"/>
              <w:lang w:eastAsia="es-EC"/>
            </w:rPr>
          </w:pPr>
          <w:r w:rsidRPr="00CB4CF6">
            <w:rPr>
              <w:rFonts w:ascii="Times New Roman" w:hAnsi="Times New Roman" w:cs="Times New Roman"/>
              <w:b w:val="0"/>
              <w:bCs w:val="0"/>
              <w:caps w:val="0"/>
            </w:rPr>
            <w:fldChar w:fldCharType="begin"/>
          </w:r>
          <w:r w:rsidRPr="00CB4CF6">
            <w:rPr>
              <w:rFonts w:ascii="Times New Roman" w:hAnsi="Times New Roman" w:cs="Times New Roman"/>
              <w:b w:val="0"/>
              <w:bCs w:val="0"/>
              <w:caps w:val="0"/>
            </w:rPr>
            <w:instrText xml:space="preserve"> TOC \h \z \u \t "Título 1;2;Título 2;3;Título 3;4;Título 4;5;Título 5;6;Título 6;7;Título 7;1" </w:instrText>
          </w:r>
          <w:r w:rsidRPr="00CB4CF6">
            <w:rPr>
              <w:rFonts w:ascii="Times New Roman" w:hAnsi="Times New Roman" w:cs="Times New Roman"/>
              <w:b w:val="0"/>
              <w:bCs w:val="0"/>
              <w:caps w:val="0"/>
            </w:rPr>
            <w:fldChar w:fldCharType="separate"/>
          </w:r>
          <w:hyperlink w:anchor="_Toc9537760" w:history="1">
            <w:r w:rsidR="00CB4CF6" w:rsidRPr="00CB4CF6">
              <w:rPr>
                <w:rStyle w:val="Hipervnculo"/>
                <w:rFonts w:ascii="Times New Roman" w:hAnsi="Times New Roman" w:cs="Times New Roman"/>
                <w:b w:val="0"/>
                <w:noProof/>
              </w:rPr>
              <w:t>TEMA</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_Toc9537760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II</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1" w:history="1">
            <w:r w:rsidR="00CB4CF6" w:rsidRPr="00CB4CF6">
              <w:rPr>
                <w:rStyle w:val="Hipervnculo"/>
                <w:rFonts w:ascii="Times New Roman" w:hAnsi="Times New Roman" w:cs="Times New Roman"/>
                <w:b w:val="0"/>
                <w:noProof/>
              </w:rPr>
              <w:t>CERTIFICACIÓN DE AUTORÍA</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_Toc9537761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III</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2" w:history="1">
            <w:r w:rsidR="00CB4CF6" w:rsidRPr="00CB4CF6">
              <w:rPr>
                <w:rStyle w:val="Hipervnculo"/>
                <w:rFonts w:ascii="Times New Roman" w:hAnsi="Times New Roman" w:cs="Times New Roman"/>
                <w:b w:val="0"/>
                <w:noProof/>
              </w:rPr>
              <w:t>DEDICATORIA</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_Toc9537762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IV</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3" w:history="1">
            <w:r w:rsidR="00CB4CF6" w:rsidRPr="00CB4CF6">
              <w:rPr>
                <w:rStyle w:val="Hipervnculo"/>
                <w:rFonts w:ascii="Times New Roman" w:hAnsi="Times New Roman" w:cs="Times New Roman"/>
                <w:b w:val="0"/>
                <w:noProof/>
              </w:rPr>
              <w:t>AGRADECIMIENTOS</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_Toc9537763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V</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4" w:history="1">
            <w:r w:rsidR="00CB4CF6" w:rsidRPr="00CB4CF6">
              <w:rPr>
                <w:rStyle w:val="Hipervnculo"/>
                <w:rFonts w:ascii="Times New Roman" w:hAnsi="Times New Roman" w:cs="Times New Roman"/>
                <w:b w:val="0"/>
                <w:noProof/>
              </w:rPr>
              <w:t>DEDICATORIA</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_Toc9537764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VI</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5" w:history="1">
            <w:r w:rsidR="00CB4CF6" w:rsidRPr="00CB4CF6">
              <w:rPr>
                <w:rStyle w:val="Hipervnculo"/>
                <w:rFonts w:ascii="Times New Roman" w:hAnsi="Times New Roman" w:cs="Times New Roman"/>
                <w:b w:val="0"/>
                <w:noProof/>
              </w:rPr>
              <w:t>AGRADECIMIENTOS</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_Toc9537765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VII</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6" w:history="1">
            <w:r w:rsidR="00CB4CF6" w:rsidRPr="00CB4CF6">
              <w:rPr>
                <w:rStyle w:val="Hipervnculo"/>
                <w:rFonts w:ascii="Times New Roman" w:hAnsi="Times New Roman" w:cs="Times New Roman"/>
                <w:b w:val="0"/>
                <w:noProof/>
                <w:lang w:val="es-ES"/>
              </w:rPr>
              <w:t>Índice de contenidos</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_Toc9537766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VIII</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7" w:history="1">
            <w:r w:rsidR="00CB4CF6" w:rsidRPr="00CB4CF6">
              <w:rPr>
                <w:rStyle w:val="Hipervnculo"/>
                <w:rFonts w:ascii="Times New Roman" w:hAnsi="Times New Roman" w:cs="Times New Roman"/>
                <w:b w:val="0"/>
                <w:noProof/>
              </w:rPr>
              <w:t>Índice de Figuras</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_Toc9537767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XI</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8" w:history="1">
            <w:r w:rsidR="00CB4CF6" w:rsidRPr="00CB4CF6">
              <w:rPr>
                <w:rStyle w:val="Hipervnculo"/>
                <w:rFonts w:ascii="Times New Roman" w:hAnsi="Times New Roman" w:cs="Times New Roman"/>
                <w:b w:val="0"/>
                <w:noProof/>
              </w:rPr>
              <w:t>Índice de Tablas</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_Toc9537768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XII</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69" w:history="1">
            <w:r w:rsidR="00CB4CF6" w:rsidRPr="00CB4CF6">
              <w:rPr>
                <w:rStyle w:val="Hipervnculo"/>
                <w:rFonts w:ascii="Times New Roman" w:hAnsi="Times New Roman" w:cs="Times New Roman"/>
                <w:b w:val="0"/>
                <w:noProof/>
              </w:rPr>
              <w:t>Índice de Anexos</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_Toc9537769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XIII</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70" w:history="1">
            <w:r w:rsidR="00CB4CF6" w:rsidRPr="00CB4CF6">
              <w:rPr>
                <w:rStyle w:val="Hipervnculo"/>
                <w:rFonts w:ascii="Times New Roman" w:hAnsi="Times New Roman" w:cs="Times New Roman"/>
                <w:b w:val="0"/>
                <w:noProof/>
              </w:rPr>
              <w:t>RESUMEN</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_Toc9537770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XIV</w:t>
            </w:r>
            <w:r w:rsidR="00CB4CF6" w:rsidRPr="00CB4CF6">
              <w:rPr>
                <w:rFonts w:ascii="Times New Roman" w:hAnsi="Times New Roman" w:cs="Times New Roman"/>
                <w:b w:val="0"/>
                <w:noProof/>
                <w:webHidden/>
              </w:rPr>
              <w:fldChar w:fldCharType="end"/>
            </w:r>
          </w:hyperlink>
        </w:p>
        <w:p w:rsidR="00CB4CF6" w:rsidRPr="00CB4CF6" w:rsidRDefault="000B7990">
          <w:pPr>
            <w:pStyle w:val="TDC1"/>
            <w:tabs>
              <w:tab w:val="right" w:pos="7927"/>
            </w:tabs>
            <w:rPr>
              <w:rFonts w:ascii="Times New Roman" w:eastAsiaTheme="minorEastAsia" w:hAnsi="Times New Roman" w:cs="Times New Roman"/>
              <w:b w:val="0"/>
              <w:bCs w:val="0"/>
              <w:caps w:val="0"/>
              <w:noProof/>
              <w:sz w:val="22"/>
              <w:szCs w:val="22"/>
              <w:lang w:eastAsia="es-EC"/>
            </w:rPr>
          </w:pPr>
          <w:hyperlink w:anchor="_Toc9537771" w:history="1">
            <w:r w:rsidR="00CB4CF6" w:rsidRPr="00CB4CF6">
              <w:rPr>
                <w:rStyle w:val="Hipervnculo"/>
                <w:rFonts w:ascii="Times New Roman" w:hAnsi="Times New Roman" w:cs="Times New Roman"/>
                <w:b w:val="0"/>
                <w:noProof/>
                <w:lang w:val="en-US"/>
              </w:rPr>
              <w:t>SUMMARY</w:t>
            </w:r>
            <w:r w:rsidR="00CB4CF6" w:rsidRPr="00CB4CF6">
              <w:rPr>
                <w:rFonts w:ascii="Times New Roman" w:hAnsi="Times New Roman" w:cs="Times New Roman"/>
                <w:b w:val="0"/>
                <w:noProof/>
                <w:webHidden/>
              </w:rPr>
              <w:tab/>
            </w:r>
            <w:r w:rsidR="00CB4CF6" w:rsidRPr="00CB4CF6">
              <w:rPr>
                <w:rFonts w:ascii="Times New Roman" w:hAnsi="Times New Roman" w:cs="Times New Roman"/>
                <w:b w:val="0"/>
                <w:noProof/>
                <w:webHidden/>
              </w:rPr>
              <w:fldChar w:fldCharType="begin"/>
            </w:r>
            <w:r w:rsidR="00CB4CF6" w:rsidRPr="00CB4CF6">
              <w:rPr>
                <w:rFonts w:ascii="Times New Roman" w:hAnsi="Times New Roman" w:cs="Times New Roman"/>
                <w:b w:val="0"/>
                <w:noProof/>
                <w:webHidden/>
              </w:rPr>
              <w:instrText xml:space="preserve"> PAGEREF _Toc9537771 \h </w:instrText>
            </w:r>
            <w:r w:rsidR="00CB4CF6" w:rsidRPr="00CB4CF6">
              <w:rPr>
                <w:rFonts w:ascii="Times New Roman" w:hAnsi="Times New Roman" w:cs="Times New Roman"/>
                <w:b w:val="0"/>
                <w:noProof/>
                <w:webHidden/>
              </w:rPr>
            </w:r>
            <w:r w:rsidR="00CB4CF6" w:rsidRPr="00CB4CF6">
              <w:rPr>
                <w:rFonts w:ascii="Times New Roman" w:hAnsi="Times New Roman" w:cs="Times New Roman"/>
                <w:b w:val="0"/>
                <w:noProof/>
                <w:webHidden/>
              </w:rPr>
              <w:fldChar w:fldCharType="separate"/>
            </w:r>
            <w:r w:rsidR="00CB4CF6" w:rsidRPr="00CB4CF6">
              <w:rPr>
                <w:rFonts w:ascii="Times New Roman" w:hAnsi="Times New Roman" w:cs="Times New Roman"/>
                <w:b w:val="0"/>
                <w:noProof/>
                <w:webHidden/>
              </w:rPr>
              <w:t>XV</w:t>
            </w:r>
            <w:r w:rsidR="00CB4CF6" w:rsidRPr="00CB4CF6">
              <w:rPr>
                <w:rFonts w:ascii="Times New Roman" w:hAnsi="Times New Roman" w:cs="Times New Roman"/>
                <w:b w:val="0"/>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772" w:history="1">
            <w:r w:rsidR="00CB4CF6" w:rsidRPr="00CB4CF6">
              <w:rPr>
                <w:rStyle w:val="Hipervnculo"/>
                <w:rFonts w:ascii="Times New Roman" w:hAnsi="Times New Roman" w:cs="Times New Roman"/>
                <w:noProof/>
              </w:rPr>
              <w:t>CAPITULO I</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_Toc9537772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w:t>
            </w:r>
            <w:r w:rsidR="00CB4CF6" w:rsidRPr="00CB4CF6">
              <w:rPr>
                <w:rFonts w:ascii="Times New Roman" w:hAnsi="Times New Roman" w:cs="Times New Roman"/>
                <w:noProof/>
                <w:webHidden/>
              </w:rPr>
              <w:fldChar w:fldCharType="end"/>
            </w:r>
          </w:hyperlink>
        </w:p>
        <w:p w:rsidR="00CB4CF6" w:rsidRPr="00CB4CF6" w:rsidRDefault="000B7990">
          <w:pPr>
            <w:pStyle w:val="TDC3"/>
            <w:tabs>
              <w:tab w:val="left" w:pos="880"/>
              <w:tab w:val="right" w:pos="7927"/>
            </w:tabs>
            <w:rPr>
              <w:rFonts w:ascii="Times New Roman" w:eastAsiaTheme="minorEastAsia" w:hAnsi="Times New Roman" w:cs="Times New Roman"/>
              <w:i w:val="0"/>
              <w:iCs w:val="0"/>
              <w:noProof/>
              <w:sz w:val="22"/>
              <w:szCs w:val="22"/>
              <w:lang w:eastAsia="es-EC"/>
            </w:rPr>
          </w:pPr>
          <w:hyperlink w:anchor="_Toc9537773" w:history="1">
            <w:r w:rsidR="00CB4CF6" w:rsidRPr="00CB4CF6">
              <w:rPr>
                <w:rStyle w:val="Hipervnculo"/>
                <w:rFonts w:ascii="Times New Roman" w:hAnsi="Times New Roman" w:cs="Times New Roman"/>
                <w:noProof/>
              </w:rPr>
              <w:t>1.</w:t>
            </w:r>
            <w:r w:rsidR="00CB4CF6" w:rsidRPr="00CB4CF6">
              <w:rPr>
                <w:rFonts w:ascii="Times New Roman" w:eastAsiaTheme="minorEastAsia" w:hAnsi="Times New Roman" w:cs="Times New Roman"/>
                <w:i w:val="0"/>
                <w:iCs w:val="0"/>
                <w:noProof/>
                <w:sz w:val="22"/>
                <w:szCs w:val="22"/>
                <w:lang w:eastAsia="es-EC"/>
              </w:rPr>
              <w:tab/>
            </w:r>
            <w:r w:rsidR="00CB4CF6" w:rsidRPr="00CB4CF6">
              <w:rPr>
                <w:rStyle w:val="Hipervnculo"/>
                <w:rFonts w:ascii="Times New Roman" w:hAnsi="Times New Roman" w:cs="Times New Roman"/>
                <w:noProof/>
              </w:rPr>
              <w:t>INTRODUCCIÓN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_Toc9537773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w:t>
            </w:r>
            <w:r w:rsidR="00CB4CF6" w:rsidRPr="00CB4CF6">
              <w:rPr>
                <w:rFonts w:ascii="Times New Roman" w:hAnsi="Times New Roman" w:cs="Times New Roman"/>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774" w:history="1">
            <w:r w:rsidR="00CB4CF6" w:rsidRPr="00CB4CF6">
              <w:rPr>
                <w:rStyle w:val="Hipervnculo"/>
                <w:rFonts w:ascii="Times New Roman" w:hAnsi="Times New Roman" w:cs="Times New Roman"/>
                <w:noProof/>
              </w:rPr>
              <w:t>CAPITULO II</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_Toc9537774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w:t>
            </w:r>
            <w:r w:rsidR="00CB4CF6" w:rsidRPr="00CB4CF6">
              <w:rPr>
                <w:rFonts w:ascii="Times New Roman" w:hAnsi="Times New Roman" w:cs="Times New Roman"/>
                <w:noProof/>
                <w:webHidden/>
              </w:rPr>
              <w:fldChar w:fldCharType="end"/>
            </w:r>
          </w:hyperlink>
        </w:p>
        <w:p w:rsidR="00CB4CF6" w:rsidRPr="00CB4CF6" w:rsidRDefault="000B7990">
          <w:pPr>
            <w:pStyle w:val="TDC3"/>
            <w:tabs>
              <w:tab w:val="left" w:pos="880"/>
              <w:tab w:val="right" w:pos="7927"/>
            </w:tabs>
            <w:rPr>
              <w:rFonts w:ascii="Times New Roman" w:eastAsiaTheme="minorEastAsia" w:hAnsi="Times New Roman" w:cs="Times New Roman"/>
              <w:i w:val="0"/>
              <w:iCs w:val="0"/>
              <w:noProof/>
              <w:sz w:val="22"/>
              <w:szCs w:val="22"/>
              <w:lang w:eastAsia="es-EC"/>
            </w:rPr>
          </w:pPr>
          <w:hyperlink w:anchor="_Toc9537775" w:history="1">
            <w:r w:rsidR="00CB4CF6" w:rsidRPr="00CB4CF6">
              <w:rPr>
                <w:rStyle w:val="Hipervnculo"/>
                <w:rFonts w:ascii="Times New Roman" w:hAnsi="Times New Roman" w:cs="Times New Roman"/>
                <w:noProof/>
              </w:rPr>
              <w:t>2.</w:t>
            </w:r>
            <w:r w:rsidR="00CB4CF6" w:rsidRPr="00CB4CF6">
              <w:rPr>
                <w:rFonts w:ascii="Times New Roman" w:eastAsiaTheme="minorEastAsia" w:hAnsi="Times New Roman" w:cs="Times New Roman"/>
                <w:i w:val="0"/>
                <w:iCs w:val="0"/>
                <w:noProof/>
                <w:sz w:val="22"/>
                <w:szCs w:val="22"/>
                <w:lang w:eastAsia="es-EC"/>
              </w:rPr>
              <w:tab/>
            </w:r>
            <w:r w:rsidR="00CB4CF6" w:rsidRPr="00CB4CF6">
              <w:rPr>
                <w:rStyle w:val="Hipervnculo"/>
                <w:rFonts w:ascii="Times New Roman" w:hAnsi="Times New Roman" w:cs="Times New Roman"/>
                <w:noProof/>
              </w:rPr>
              <w:t>PROBLEMA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_Toc9537775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776" w:history="1">
            <w:r w:rsidR="00CB4CF6" w:rsidRPr="00CB4CF6">
              <w:rPr>
                <w:rStyle w:val="Hipervnculo"/>
                <w:rFonts w:ascii="Times New Roman" w:hAnsi="Times New Roman" w:cs="Times New Roman"/>
                <w:noProof/>
              </w:rPr>
              <w:t>2.1.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Planteamiento del Problema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_Toc9537776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777" w:history="1">
            <w:r w:rsidR="00CB4CF6" w:rsidRPr="00CB4CF6">
              <w:rPr>
                <w:rStyle w:val="Hipervnculo"/>
                <w:rFonts w:ascii="Times New Roman" w:hAnsi="Times New Roman" w:cs="Times New Roman"/>
                <w:noProof/>
              </w:rPr>
              <w:t>2.2.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Formulación del Problema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_Toc9537777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778" w:history="1">
            <w:r w:rsidR="00CB4CF6" w:rsidRPr="00CB4CF6">
              <w:rPr>
                <w:rStyle w:val="Hipervnculo"/>
                <w:rFonts w:ascii="Times New Roman" w:hAnsi="Times New Roman" w:cs="Times New Roman"/>
                <w:noProof/>
              </w:rPr>
              <w:t>2.3.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Sistematización del Problema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_Toc9537778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779" w:history="1">
            <w:r w:rsidR="00CB4CF6" w:rsidRPr="00CB4CF6">
              <w:rPr>
                <w:rStyle w:val="Hipervnculo"/>
                <w:rFonts w:ascii="Times New Roman" w:hAnsi="Times New Roman" w:cs="Times New Roman"/>
                <w:noProof/>
              </w:rPr>
              <w:t>2.4.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Justificación del Problema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_Toc9537779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w:t>
            </w:r>
            <w:r w:rsidR="00CB4CF6" w:rsidRPr="00CB4CF6">
              <w:rPr>
                <w:rFonts w:ascii="Times New Roman" w:hAnsi="Times New Roman" w:cs="Times New Roman"/>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780" w:history="1">
            <w:r w:rsidR="00CB4CF6" w:rsidRPr="00CB4CF6">
              <w:rPr>
                <w:rStyle w:val="Hipervnculo"/>
                <w:rFonts w:ascii="Times New Roman" w:hAnsi="Times New Roman" w:cs="Times New Roman"/>
                <w:noProof/>
              </w:rPr>
              <w:t>CAPITULO III</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6</w:t>
            </w:r>
            <w:r w:rsidR="00CB4CF6" w:rsidRPr="00CB4CF6">
              <w:rPr>
                <w:rFonts w:ascii="Times New Roman" w:hAnsi="Times New Roman" w:cs="Times New Roman"/>
                <w:noProof/>
                <w:webHidden/>
              </w:rPr>
              <w:fldChar w:fldCharType="end"/>
            </w:r>
          </w:hyperlink>
        </w:p>
        <w:p w:rsidR="00CB4CF6" w:rsidRPr="00CB4CF6" w:rsidRDefault="000B7990">
          <w:pPr>
            <w:pStyle w:val="TDC3"/>
            <w:tabs>
              <w:tab w:val="left" w:pos="880"/>
              <w:tab w:val="right" w:pos="7927"/>
            </w:tabs>
            <w:rPr>
              <w:rFonts w:ascii="Times New Roman" w:eastAsiaTheme="minorEastAsia" w:hAnsi="Times New Roman" w:cs="Times New Roman"/>
              <w:i w:val="0"/>
              <w:iCs w:val="0"/>
              <w:noProof/>
              <w:sz w:val="22"/>
              <w:szCs w:val="22"/>
              <w:lang w:eastAsia="es-EC"/>
            </w:rPr>
          </w:pPr>
          <w:hyperlink w:anchor="_Toc9537781" w:history="1">
            <w:r w:rsidR="00CB4CF6" w:rsidRPr="00CB4CF6">
              <w:rPr>
                <w:rStyle w:val="Hipervnculo"/>
                <w:rFonts w:ascii="Times New Roman" w:hAnsi="Times New Roman" w:cs="Times New Roman"/>
                <w:noProof/>
              </w:rPr>
              <w:t>3.</w:t>
            </w:r>
            <w:r w:rsidR="00CB4CF6" w:rsidRPr="00CB4CF6">
              <w:rPr>
                <w:rFonts w:ascii="Times New Roman" w:eastAsiaTheme="minorEastAsia" w:hAnsi="Times New Roman" w:cs="Times New Roman"/>
                <w:i w:val="0"/>
                <w:iCs w:val="0"/>
                <w:noProof/>
                <w:sz w:val="22"/>
                <w:szCs w:val="22"/>
                <w:lang w:eastAsia="es-EC"/>
              </w:rPr>
              <w:tab/>
            </w:r>
            <w:r w:rsidR="00CB4CF6" w:rsidRPr="00CB4CF6">
              <w:rPr>
                <w:rStyle w:val="Hipervnculo"/>
                <w:rFonts w:ascii="Times New Roman" w:hAnsi="Times New Roman" w:cs="Times New Roman"/>
                <w:noProof/>
              </w:rPr>
              <w:t>MARCO TEÓRICO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6</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782" w:history="1">
            <w:r w:rsidR="00CB4CF6" w:rsidRPr="00CB4CF6">
              <w:rPr>
                <w:rStyle w:val="Hipervnculo"/>
                <w:rFonts w:ascii="Times New Roman" w:hAnsi="Times New Roman" w:cs="Times New Roman"/>
                <w:noProof/>
              </w:rPr>
              <w:t>3.1.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Digestión anaerobia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6</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783" w:history="1">
            <w:r w:rsidR="00CB4CF6" w:rsidRPr="00CB4CF6">
              <w:rPr>
                <w:rStyle w:val="Hipervnculo"/>
                <w:rFonts w:ascii="Times New Roman" w:hAnsi="Times New Roman" w:cs="Times New Roman"/>
                <w:noProof/>
              </w:rPr>
              <w:t>3.1.1.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Etapas involucradas en la digestión anaerobia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6</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784" w:history="1">
            <w:r w:rsidR="00CB4CF6" w:rsidRPr="00CB4CF6">
              <w:rPr>
                <w:rStyle w:val="Hipervnculo"/>
                <w:rFonts w:ascii="Times New Roman" w:hAnsi="Times New Roman" w:cs="Times New Roman"/>
                <w:noProof/>
              </w:rPr>
              <w:t>3.1.2.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Codigestión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7</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85" w:history="1">
            <w:r w:rsidR="00CB4CF6" w:rsidRPr="00CB4CF6">
              <w:rPr>
                <w:rStyle w:val="Hipervnculo"/>
                <w:rFonts w:ascii="Times New Roman" w:hAnsi="Times New Roman" w:cs="Times New Roman"/>
                <w:noProof/>
              </w:rPr>
              <w:t>3.1.2.1.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Beneficios de la codigestión anaerobia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7</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786" w:history="1">
            <w:r w:rsidR="00CB4CF6" w:rsidRPr="00CB4CF6">
              <w:rPr>
                <w:rStyle w:val="Hipervnculo"/>
                <w:rFonts w:ascii="Times New Roman" w:hAnsi="Times New Roman" w:cs="Times New Roman"/>
                <w:noProof/>
              </w:rPr>
              <w:t>3.1.3.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Parámetros del proceso de digestión anaerobia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8</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87" w:history="1">
            <w:r w:rsidR="00CB4CF6" w:rsidRPr="00CB4CF6">
              <w:rPr>
                <w:rStyle w:val="Hipervnculo"/>
                <w:rFonts w:ascii="Times New Roman" w:hAnsi="Times New Roman" w:cs="Times New Roman"/>
                <w:noProof/>
              </w:rPr>
              <w:t>3.1.3.1.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Temperatura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8</w:t>
            </w:r>
            <w:r w:rsidR="00CB4CF6" w:rsidRPr="00CB4CF6">
              <w:rPr>
                <w:rFonts w:ascii="Times New Roman" w:hAnsi="Times New Roman" w:cs="Times New Roman"/>
                <w:noProof/>
                <w:webHidden/>
              </w:rPr>
              <w:fldChar w:fldCharType="end"/>
            </w:r>
          </w:hyperlink>
        </w:p>
        <w:p w:rsidR="00CB4CF6" w:rsidRPr="00CB4CF6" w:rsidRDefault="000B7990">
          <w:pPr>
            <w:pStyle w:val="TDC7"/>
            <w:tabs>
              <w:tab w:val="left" w:pos="2215"/>
              <w:tab w:val="right" w:pos="7927"/>
            </w:tabs>
            <w:rPr>
              <w:rFonts w:ascii="Times New Roman" w:eastAsiaTheme="minorEastAsia" w:hAnsi="Times New Roman" w:cs="Times New Roman"/>
              <w:noProof/>
              <w:sz w:val="22"/>
              <w:szCs w:val="22"/>
              <w:lang w:eastAsia="es-EC"/>
            </w:rPr>
          </w:pPr>
          <w:hyperlink w:anchor="_Toc9537788" w:history="1">
            <w:r w:rsidR="00CB4CF6" w:rsidRPr="00CB4CF6">
              <w:rPr>
                <w:rStyle w:val="Hipervnculo"/>
                <w:rFonts w:ascii="Times New Roman" w:hAnsi="Times New Roman" w:cs="Times New Roman"/>
                <w:noProof/>
              </w:rPr>
              <w:t>3.1.3.1.1.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Efecto de la temperatura en la digestión anaerobia.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8</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89" w:history="1">
            <w:r w:rsidR="00CB4CF6" w:rsidRPr="00CB4CF6">
              <w:rPr>
                <w:rStyle w:val="Hipervnculo"/>
                <w:rFonts w:ascii="Times New Roman" w:hAnsi="Times New Roman" w:cs="Times New Roman"/>
                <w:noProof/>
              </w:rPr>
              <w:t>3.1.3.2.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pH</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_Toc9537789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10</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90" w:history="1">
            <w:r w:rsidR="00CB4CF6" w:rsidRPr="00CB4CF6">
              <w:rPr>
                <w:rStyle w:val="Hipervnculo"/>
                <w:rFonts w:ascii="Times New Roman" w:hAnsi="Times New Roman" w:cs="Times New Roman"/>
                <w:noProof/>
              </w:rPr>
              <w:t>3.1.3.3.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Tasa de carga orgánica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11</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91" w:history="1">
            <w:r w:rsidR="00CB4CF6" w:rsidRPr="00CB4CF6">
              <w:rPr>
                <w:rStyle w:val="Hipervnculo"/>
                <w:rFonts w:ascii="Times New Roman" w:hAnsi="Times New Roman" w:cs="Times New Roman"/>
                <w:noProof/>
              </w:rPr>
              <w:t>3.1.3.4.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Tiempo de retención hidráulica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13</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92" w:history="1">
            <w:r w:rsidR="00CB4CF6" w:rsidRPr="00CB4CF6">
              <w:rPr>
                <w:rStyle w:val="Hipervnculo"/>
                <w:rFonts w:ascii="Times New Roman" w:hAnsi="Times New Roman" w:cs="Times New Roman"/>
                <w:noProof/>
              </w:rPr>
              <w:t>3.1.3.5.</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Razón de carbono a nitrógeno (C/N)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13</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93" w:history="1">
            <w:r w:rsidR="00CB4CF6" w:rsidRPr="00CB4CF6">
              <w:rPr>
                <w:rStyle w:val="Hipervnculo"/>
                <w:rFonts w:ascii="Times New Roman" w:hAnsi="Times New Roman" w:cs="Times New Roman"/>
                <w:noProof/>
              </w:rPr>
              <w:t>3.1.3.6.</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Concentración de Ácidos grasos volátiles (AGV)</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14</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794" w:history="1">
            <w:r w:rsidR="00CB4CF6" w:rsidRPr="00CB4CF6">
              <w:rPr>
                <w:rStyle w:val="Hipervnculo"/>
                <w:rFonts w:ascii="Times New Roman" w:hAnsi="Times New Roman" w:cs="Times New Roman"/>
                <w:noProof/>
              </w:rPr>
              <w:t>3.2.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Ensayo de Potencial Bioquímico de Metano (PBM)</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14</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795" w:history="1">
            <w:r w:rsidR="00CB4CF6" w:rsidRPr="00CB4CF6">
              <w:rPr>
                <w:rStyle w:val="Hipervnculo"/>
                <w:rFonts w:ascii="Times New Roman" w:hAnsi="Times New Roman" w:cs="Times New Roman"/>
                <w:noProof/>
              </w:rPr>
              <w:t>3.2.1.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Factores que influyen en el ensayo de PBM</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15</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96" w:history="1">
            <w:r w:rsidR="00CB4CF6" w:rsidRPr="00CB4CF6">
              <w:rPr>
                <w:rStyle w:val="Hipervnculo"/>
                <w:rFonts w:ascii="Times New Roman" w:hAnsi="Times New Roman" w:cs="Times New Roman"/>
                <w:noProof/>
              </w:rPr>
              <w:t>3.2.1.1.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Sustratos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15</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97" w:history="1">
            <w:r w:rsidR="00CB4CF6" w:rsidRPr="00CB4CF6">
              <w:rPr>
                <w:rStyle w:val="Hipervnculo"/>
                <w:rFonts w:ascii="Times New Roman" w:hAnsi="Times New Roman" w:cs="Times New Roman"/>
                <w:noProof/>
              </w:rPr>
              <w:t>3.2.1.2.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Solidos totales (ST) y Solidos volátiles (SV)</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15</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98" w:history="1">
            <w:r w:rsidR="00CB4CF6" w:rsidRPr="00CB4CF6">
              <w:rPr>
                <w:rStyle w:val="Hipervnculo"/>
                <w:rFonts w:ascii="Times New Roman" w:hAnsi="Times New Roman" w:cs="Times New Roman"/>
                <w:noProof/>
              </w:rPr>
              <w:t>3.2.1.3.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Celulosa, hemicelulosa y lignina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15</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799" w:history="1">
            <w:r w:rsidR="00CB4CF6" w:rsidRPr="00CB4CF6">
              <w:rPr>
                <w:rStyle w:val="Hipervnculo"/>
                <w:rFonts w:ascii="Times New Roman" w:hAnsi="Times New Roman" w:cs="Times New Roman"/>
                <w:noProof/>
              </w:rPr>
              <w:t>3.2.1.4.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Biodegradabilidad</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_Toc9537799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17</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00" w:history="1">
            <w:r w:rsidR="00CB4CF6" w:rsidRPr="00CB4CF6">
              <w:rPr>
                <w:rStyle w:val="Hipervnculo"/>
                <w:rFonts w:ascii="Times New Roman" w:hAnsi="Times New Roman" w:cs="Times New Roman"/>
                <w:noProof/>
              </w:rPr>
              <w:t>3.2.1.5.</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Inóculo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18</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01" w:history="1">
            <w:r w:rsidR="00CB4CF6" w:rsidRPr="00CB4CF6">
              <w:rPr>
                <w:rStyle w:val="Hipervnculo"/>
                <w:rFonts w:ascii="Times New Roman" w:hAnsi="Times New Roman" w:cs="Times New Roman"/>
                <w:noProof/>
              </w:rPr>
              <w:t>3.2.1.6.</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Razón de Sustrato a Inóculo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18</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02" w:history="1">
            <w:r w:rsidR="00CB4CF6" w:rsidRPr="00CB4CF6">
              <w:rPr>
                <w:rStyle w:val="Hipervnculo"/>
                <w:rFonts w:ascii="Times New Roman" w:hAnsi="Times New Roman" w:cs="Times New Roman"/>
                <w:noProof/>
              </w:rPr>
              <w:t>3.2.2.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Condiciones operacionales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19</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03" w:history="1">
            <w:r w:rsidR="00CB4CF6" w:rsidRPr="00CB4CF6">
              <w:rPr>
                <w:rStyle w:val="Hipervnculo"/>
                <w:rFonts w:ascii="Times New Roman" w:hAnsi="Times New Roman" w:cs="Times New Roman"/>
                <w:noProof/>
              </w:rPr>
              <w:t>3.2.2.1.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Capacidad del reactor, réplicas y blanco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19</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04" w:history="1">
            <w:r w:rsidR="00CB4CF6" w:rsidRPr="00CB4CF6">
              <w:rPr>
                <w:rStyle w:val="Hipervnculo"/>
                <w:rFonts w:ascii="Times New Roman" w:hAnsi="Times New Roman" w:cs="Times New Roman"/>
                <w:noProof/>
              </w:rPr>
              <w:t>3.2.2.2.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Duración del ensayo y agitación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19</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05" w:history="1">
            <w:r w:rsidR="00CB4CF6" w:rsidRPr="00CB4CF6">
              <w:rPr>
                <w:rStyle w:val="Hipervnculo"/>
                <w:rFonts w:ascii="Times New Roman" w:hAnsi="Times New Roman" w:cs="Times New Roman"/>
                <w:noProof/>
              </w:rPr>
              <w:t>3.3.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Cinética Microbiana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20</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06" w:history="1">
            <w:r w:rsidR="00CB4CF6" w:rsidRPr="00CB4CF6">
              <w:rPr>
                <w:rStyle w:val="Hipervnculo"/>
                <w:rFonts w:ascii="Times New Roman" w:hAnsi="Times New Roman" w:cs="Times New Roman"/>
                <w:noProof/>
              </w:rPr>
              <w:t>3.3.1.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Modelos cinéticos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21</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07" w:history="1">
            <w:r w:rsidR="00CB4CF6" w:rsidRPr="00CB4CF6">
              <w:rPr>
                <w:rStyle w:val="Hipervnculo"/>
                <w:rFonts w:ascii="Times New Roman" w:hAnsi="Times New Roman" w:cs="Times New Roman"/>
                <w:noProof/>
              </w:rPr>
              <w:t>3.3.1.1.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Modelo cinético de primer orden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22</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08" w:history="1">
            <w:r w:rsidR="00CB4CF6" w:rsidRPr="00CB4CF6">
              <w:rPr>
                <w:rStyle w:val="Hipervnculo"/>
                <w:rFonts w:ascii="Times New Roman" w:hAnsi="Times New Roman" w:cs="Times New Roman"/>
                <w:noProof/>
              </w:rPr>
              <w:t>3.3.1.2.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Modelo modificado de Gompertz</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23</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09" w:history="1">
            <w:r w:rsidR="00CB4CF6" w:rsidRPr="00CB4CF6">
              <w:rPr>
                <w:rStyle w:val="Hipervnculo"/>
                <w:rFonts w:ascii="Times New Roman" w:hAnsi="Times New Roman" w:cs="Times New Roman"/>
                <w:noProof/>
                <w:lang w:eastAsia="es-EC"/>
              </w:rPr>
              <w:t>3.3.1.3.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Modelo de la funcion de trasferencia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_Toc9537809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23</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10" w:history="1">
            <w:r w:rsidR="00CB4CF6" w:rsidRPr="00CB4CF6">
              <w:rPr>
                <w:rStyle w:val="Hipervnculo"/>
                <w:rFonts w:ascii="Times New Roman" w:hAnsi="Times New Roman" w:cs="Times New Roman"/>
                <w:noProof/>
                <w:lang w:eastAsia="es-EC"/>
              </w:rPr>
              <w:t>3.3.1.4.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Modelo del cono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24</w:t>
            </w:r>
            <w:r w:rsidR="00CB4CF6" w:rsidRPr="00CB4CF6">
              <w:rPr>
                <w:rFonts w:ascii="Times New Roman" w:hAnsi="Times New Roman" w:cs="Times New Roman"/>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811" w:history="1">
            <w:r w:rsidR="00CB4CF6" w:rsidRPr="00CB4CF6">
              <w:rPr>
                <w:rStyle w:val="Hipervnculo"/>
                <w:rFonts w:ascii="Times New Roman" w:hAnsi="Times New Roman" w:cs="Times New Roman"/>
                <w:noProof/>
              </w:rPr>
              <w:t>CAPITULO IV</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25</w:t>
            </w:r>
            <w:r w:rsidR="00CB4CF6" w:rsidRPr="00CB4CF6">
              <w:rPr>
                <w:rFonts w:ascii="Times New Roman" w:hAnsi="Times New Roman" w:cs="Times New Roman"/>
                <w:noProof/>
                <w:webHidden/>
              </w:rPr>
              <w:fldChar w:fldCharType="end"/>
            </w:r>
          </w:hyperlink>
        </w:p>
        <w:p w:rsidR="00CB4CF6" w:rsidRPr="00CB4CF6" w:rsidRDefault="000B7990">
          <w:pPr>
            <w:pStyle w:val="TDC3"/>
            <w:tabs>
              <w:tab w:val="left" w:pos="880"/>
              <w:tab w:val="right" w:pos="7927"/>
            </w:tabs>
            <w:rPr>
              <w:rFonts w:ascii="Times New Roman" w:eastAsiaTheme="minorEastAsia" w:hAnsi="Times New Roman" w:cs="Times New Roman"/>
              <w:i w:val="0"/>
              <w:iCs w:val="0"/>
              <w:noProof/>
              <w:sz w:val="22"/>
              <w:szCs w:val="22"/>
              <w:lang w:eastAsia="es-EC"/>
            </w:rPr>
          </w:pPr>
          <w:hyperlink w:anchor="_Toc9537812" w:history="1">
            <w:r w:rsidR="00CB4CF6" w:rsidRPr="00CB4CF6">
              <w:rPr>
                <w:rStyle w:val="Hipervnculo"/>
                <w:rFonts w:ascii="Times New Roman" w:hAnsi="Times New Roman" w:cs="Times New Roman"/>
                <w:noProof/>
              </w:rPr>
              <w:t>4.</w:t>
            </w:r>
            <w:r w:rsidR="00CB4CF6" w:rsidRPr="00CB4CF6">
              <w:rPr>
                <w:rFonts w:ascii="Times New Roman" w:eastAsiaTheme="minorEastAsia" w:hAnsi="Times New Roman" w:cs="Times New Roman"/>
                <w:i w:val="0"/>
                <w:iCs w:val="0"/>
                <w:noProof/>
                <w:sz w:val="22"/>
                <w:szCs w:val="22"/>
                <w:lang w:eastAsia="es-EC"/>
              </w:rPr>
              <w:tab/>
            </w:r>
            <w:r w:rsidR="00CB4CF6" w:rsidRPr="00CB4CF6">
              <w:rPr>
                <w:rStyle w:val="Hipervnculo"/>
                <w:rFonts w:ascii="Times New Roman" w:hAnsi="Times New Roman" w:cs="Times New Roman"/>
                <w:noProof/>
              </w:rPr>
              <w:t>MARCO METODOLÓGICO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25</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13" w:history="1">
            <w:r w:rsidR="00CB4CF6" w:rsidRPr="00CB4CF6">
              <w:rPr>
                <w:rStyle w:val="Hipervnculo"/>
                <w:rFonts w:ascii="Times New Roman" w:hAnsi="Times New Roman" w:cs="Times New Roman"/>
                <w:noProof/>
              </w:rPr>
              <w:t>4.1.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UBICACIÓN DE LA INVESTIGACIÓN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25</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14" w:history="1">
            <w:r w:rsidR="00CB4CF6" w:rsidRPr="00CB4CF6">
              <w:rPr>
                <w:rStyle w:val="Hipervnculo"/>
                <w:rFonts w:ascii="Times New Roman" w:hAnsi="Times New Roman" w:cs="Times New Roman"/>
                <w:noProof/>
              </w:rPr>
              <w:t>4.1.1.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Localización de la investigación.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25</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15" w:history="1">
            <w:r w:rsidR="00CB4CF6" w:rsidRPr="00CB4CF6">
              <w:rPr>
                <w:rStyle w:val="Hipervnculo"/>
                <w:rFonts w:ascii="Times New Roman" w:hAnsi="Times New Roman" w:cs="Times New Roman"/>
                <w:noProof/>
              </w:rPr>
              <w:t>4.1.2.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Situación geográfica y climática.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25</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16" w:history="1">
            <w:r w:rsidR="00CB4CF6" w:rsidRPr="00CB4CF6">
              <w:rPr>
                <w:rStyle w:val="Hipervnculo"/>
                <w:rFonts w:ascii="Times New Roman" w:hAnsi="Times New Roman" w:cs="Times New Roman"/>
                <w:noProof/>
              </w:rPr>
              <w:t>4.1.3.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Zona de vida. (Zonificación ecológica)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26</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17" w:history="1">
            <w:r w:rsidR="00CB4CF6" w:rsidRPr="00CB4CF6">
              <w:rPr>
                <w:rStyle w:val="Hipervnculo"/>
                <w:rFonts w:ascii="Times New Roman" w:hAnsi="Times New Roman" w:cs="Times New Roman"/>
                <w:noProof/>
              </w:rPr>
              <w:t>4.2.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MATERIALES Y EQUIPOS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26</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18" w:history="1">
            <w:r w:rsidR="00CB4CF6" w:rsidRPr="00CB4CF6">
              <w:rPr>
                <w:rStyle w:val="Hipervnculo"/>
                <w:rFonts w:ascii="Times New Roman" w:hAnsi="Times New Roman" w:cs="Times New Roman"/>
                <w:noProof/>
              </w:rPr>
              <w:t>4.2.1.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Materiales de laboratorio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26</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19" w:history="1">
            <w:r w:rsidR="00CB4CF6" w:rsidRPr="00CB4CF6">
              <w:rPr>
                <w:rStyle w:val="Hipervnculo"/>
                <w:rFonts w:ascii="Times New Roman" w:hAnsi="Times New Roman" w:cs="Times New Roman"/>
                <w:noProof/>
              </w:rPr>
              <w:t>4.2.2.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Equipos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_Toc9537819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26</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20" w:history="1">
            <w:r w:rsidR="00CB4CF6" w:rsidRPr="00CB4CF6">
              <w:rPr>
                <w:rStyle w:val="Hipervnculo"/>
                <w:rFonts w:ascii="Times New Roman" w:hAnsi="Times New Roman" w:cs="Times New Roman"/>
                <w:noProof/>
              </w:rPr>
              <w:t>4.3.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ANÁLISIS ESTADÍSTICO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27</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21" w:history="1">
            <w:r w:rsidR="00CB4CF6" w:rsidRPr="00CB4CF6">
              <w:rPr>
                <w:rStyle w:val="Hipervnculo"/>
                <w:rFonts w:ascii="Times New Roman" w:hAnsi="Times New Roman" w:cs="Times New Roman"/>
                <w:noProof/>
              </w:rPr>
              <w:t>4.3.1.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Arreglo experimental y tratamientos en estudio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27</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22" w:history="1">
            <w:r w:rsidR="00CB4CF6" w:rsidRPr="00CB4CF6">
              <w:rPr>
                <w:rStyle w:val="Hipervnculo"/>
                <w:rFonts w:ascii="Times New Roman" w:hAnsi="Times New Roman" w:cs="Times New Roman"/>
                <w:noProof/>
              </w:rPr>
              <w:t>4.4.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PROCEDIMIENTO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28</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23" w:history="1">
            <w:r w:rsidR="00CB4CF6" w:rsidRPr="00CB4CF6">
              <w:rPr>
                <w:rStyle w:val="Hipervnculo"/>
                <w:rFonts w:ascii="Times New Roman" w:hAnsi="Times New Roman" w:cs="Times New Roman"/>
                <w:noProof/>
              </w:rPr>
              <w:t>4.4.1.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Sustratos e inóculo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28</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24" w:history="1">
            <w:r w:rsidR="00CB4CF6" w:rsidRPr="00CB4CF6">
              <w:rPr>
                <w:rStyle w:val="Hipervnculo"/>
                <w:rFonts w:ascii="Times New Roman" w:hAnsi="Times New Roman" w:cs="Times New Roman"/>
                <w:noProof/>
              </w:rPr>
              <w:t>4.4.1.1.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Residuo ruminal</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28</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25" w:history="1">
            <w:r w:rsidR="00CB4CF6" w:rsidRPr="00CB4CF6">
              <w:rPr>
                <w:rStyle w:val="Hipervnculo"/>
                <w:rFonts w:ascii="Times New Roman" w:hAnsi="Times New Roman" w:cs="Times New Roman"/>
                <w:noProof/>
              </w:rPr>
              <w:t>4.4.1.2.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Paja de Trigo.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29</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26" w:history="1">
            <w:r w:rsidR="00CB4CF6" w:rsidRPr="00CB4CF6">
              <w:rPr>
                <w:rStyle w:val="Hipervnculo"/>
                <w:rFonts w:ascii="Times New Roman" w:hAnsi="Times New Roman" w:cs="Times New Roman"/>
                <w:noProof/>
              </w:rPr>
              <w:t>4.4.1.3.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Inóculo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30</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27" w:history="1">
            <w:r w:rsidR="00CB4CF6" w:rsidRPr="00CB4CF6">
              <w:rPr>
                <w:rStyle w:val="Hipervnculo"/>
                <w:rFonts w:ascii="Times New Roman" w:hAnsi="Times New Roman" w:cs="Times New Roman"/>
                <w:noProof/>
              </w:rPr>
              <w:t>4.4.2.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Análisis Proximal y elemental</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30</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28" w:history="1">
            <w:r w:rsidR="00CB4CF6" w:rsidRPr="00CB4CF6">
              <w:rPr>
                <w:rStyle w:val="Hipervnculo"/>
                <w:rFonts w:ascii="Times New Roman" w:hAnsi="Times New Roman" w:cs="Times New Roman"/>
                <w:noProof/>
              </w:rPr>
              <w:t>4.4.2.1.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Caracterización de las materias Primas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30</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29" w:history="1">
            <w:r w:rsidR="00CB4CF6" w:rsidRPr="00CB4CF6">
              <w:rPr>
                <w:rStyle w:val="Hipervnculo"/>
                <w:rFonts w:ascii="Times New Roman" w:hAnsi="Times New Roman" w:cs="Times New Roman"/>
                <w:noProof/>
              </w:rPr>
              <w:t>4.4.3.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Configuración general del reactor anaerobio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_Toc9537829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31</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30" w:history="1">
            <w:r w:rsidR="00CB4CF6" w:rsidRPr="00CB4CF6">
              <w:rPr>
                <w:rStyle w:val="Hipervnculo"/>
                <w:rFonts w:ascii="Times New Roman" w:hAnsi="Times New Roman" w:cs="Times New Roman"/>
                <w:noProof/>
              </w:rPr>
              <w:t>4.4.4.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Montaje del Digestor anaerobio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31</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31" w:history="1">
            <w:r w:rsidR="00CB4CF6" w:rsidRPr="00CB4CF6">
              <w:rPr>
                <w:rStyle w:val="Hipervnculo"/>
                <w:rFonts w:ascii="Times New Roman" w:hAnsi="Times New Roman" w:cs="Times New Roman"/>
                <w:noProof/>
              </w:rPr>
              <w:t>4.4.5.</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Cálculo de materia orgánica destinada para el digestor</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32</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32" w:history="1">
            <w:r w:rsidR="00CB4CF6" w:rsidRPr="00CB4CF6">
              <w:rPr>
                <w:rStyle w:val="Hipervnculo"/>
                <w:rFonts w:ascii="Times New Roman" w:hAnsi="Times New Roman" w:cs="Times New Roman"/>
                <w:noProof/>
              </w:rPr>
              <w:t>4.4.6.</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Métodos de evaluación y datos a tomarse</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35</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33" w:history="1">
            <w:r w:rsidR="00CB4CF6" w:rsidRPr="00CB4CF6">
              <w:rPr>
                <w:rStyle w:val="Hipervnculo"/>
                <w:rFonts w:ascii="Times New Roman" w:hAnsi="Times New Roman" w:cs="Times New Roman"/>
                <w:noProof/>
              </w:rPr>
              <w:t>4.4.6.1.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Presión del biogás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35</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34" w:history="1">
            <w:r w:rsidR="00CB4CF6" w:rsidRPr="00CB4CF6">
              <w:rPr>
                <w:rStyle w:val="Hipervnculo"/>
                <w:rFonts w:ascii="Times New Roman" w:hAnsi="Times New Roman" w:cs="Times New Roman"/>
                <w:noProof/>
              </w:rPr>
              <w:t>4.4.6.2.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Liberación del biogás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36</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35" w:history="1">
            <w:r w:rsidR="00CB4CF6" w:rsidRPr="00CB4CF6">
              <w:rPr>
                <w:rStyle w:val="Hipervnculo"/>
                <w:rFonts w:ascii="Times New Roman" w:hAnsi="Times New Roman" w:cs="Times New Roman"/>
                <w:noProof/>
              </w:rPr>
              <w:t>4.4.6.3.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Composición del biogás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37</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36" w:history="1">
            <w:r w:rsidR="00CB4CF6" w:rsidRPr="00CB4CF6">
              <w:rPr>
                <w:rStyle w:val="Hipervnculo"/>
                <w:rFonts w:ascii="Times New Roman" w:hAnsi="Times New Roman" w:cs="Times New Roman"/>
                <w:noProof/>
              </w:rPr>
              <w:t>4.4.6.4.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Rendimiento de biogás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38</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37" w:history="1">
            <w:r w:rsidR="00CB4CF6" w:rsidRPr="00CB4CF6">
              <w:rPr>
                <w:rStyle w:val="Hipervnculo"/>
                <w:rFonts w:ascii="Times New Roman" w:hAnsi="Times New Roman" w:cs="Times New Roman"/>
                <w:noProof/>
              </w:rPr>
              <w:t>4.4.6.5.</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Rendimiento de metano máximo teórico y biodegradabilidad</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39</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38" w:history="1">
            <w:r w:rsidR="00CB4CF6" w:rsidRPr="00CB4CF6">
              <w:rPr>
                <w:rStyle w:val="Hipervnculo"/>
                <w:rFonts w:ascii="Times New Roman" w:hAnsi="Times New Roman" w:cs="Times New Roman"/>
                <w:noProof/>
              </w:rPr>
              <w:t>4.4.6.6.</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Índice de efecto sinérgico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40</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39" w:history="1">
            <w:r w:rsidR="00CB4CF6" w:rsidRPr="00CB4CF6">
              <w:rPr>
                <w:rStyle w:val="Hipervnculo"/>
                <w:rFonts w:ascii="Times New Roman" w:hAnsi="Times New Roman" w:cs="Times New Roman"/>
                <w:noProof/>
              </w:rPr>
              <w:t>4.4.6.7.</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Tiempo de retención hidráulica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_Toc9537839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40</w:t>
            </w:r>
            <w:r w:rsidR="00CB4CF6" w:rsidRPr="00CB4CF6">
              <w:rPr>
                <w:rFonts w:ascii="Times New Roman" w:hAnsi="Times New Roman" w:cs="Times New Roman"/>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840" w:history="1">
            <w:r w:rsidR="00CB4CF6" w:rsidRPr="00CB4CF6">
              <w:rPr>
                <w:rStyle w:val="Hipervnculo"/>
                <w:rFonts w:ascii="Times New Roman" w:hAnsi="Times New Roman" w:cs="Times New Roman"/>
                <w:noProof/>
              </w:rPr>
              <w:t>CAPITULO V</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41</w:t>
            </w:r>
            <w:r w:rsidR="00CB4CF6" w:rsidRPr="00CB4CF6">
              <w:rPr>
                <w:rFonts w:ascii="Times New Roman" w:hAnsi="Times New Roman" w:cs="Times New Roman"/>
                <w:noProof/>
                <w:webHidden/>
              </w:rPr>
              <w:fldChar w:fldCharType="end"/>
            </w:r>
          </w:hyperlink>
        </w:p>
        <w:p w:rsidR="00CB4CF6" w:rsidRPr="00CB4CF6" w:rsidRDefault="000B7990">
          <w:pPr>
            <w:pStyle w:val="TDC3"/>
            <w:tabs>
              <w:tab w:val="left" w:pos="880"/>
              <w:tab w:val="right" w:pos="7927"/>
            </w:tabs>
            <w:rPr>
              <w:rFonts w:ascii="Times New Roman" w:eastAsiaTheme="minorEastAsia" w:hAnsi="Times New Roman" w:cs="Times New Roman"/>
              <w:i w:val="0"/>
              <w:iCs w:val="0"/>
              <w:noProof/>
              <w:sz w:val="22"/>
              <w:szCs w:val="22"/>
              <w:lang w:eastAsia="es-EC"/>
            </w:rPr>
          </w:pPr>
          <w:hyperlink w:anchor="_Toc9537841" w:history="1">
            <w:r w:rsidR="00CB4CF6" w:rsidRPr="00CB4CF6">
              <w:rPr>
                <w:rStyle w:val="Hipervnculo"/>
                <w:rFonts w:ascii="Times New Roman" w:hAnsi="Times New Roman" w:cs="Times New Roman"/>
                <w:noProof/>
                <w:lang w:eastAsia="es-EC"/>
              </w:rPr>
              <w:t>5.</w:t>
            </w:r>
            <w:r w:rsidR="00CB4CF6" w:rsidRPr="00CB4CF6">
              <w:rPr>
                <w:rFonts w:ascii="Times New Roman" w:eastAsiaTheme="minorEastAsia" w:hAnsi="Times New Roman" w:cs="Times New Roman"/>
                <w:i w:val="0"/>
                <w:iCs w:val="0"/>
                <w:noProof/>
                <w:sz w:val="22"/>
                <w:szCs w:val="22"/>
                <w:lang w:eastAsia="es-EC"/>
              </w:rPr>
              <w:tab/>
            </w:r>
            <w:r w:rsidR="00CB4CF6" w:rsidRPr="00CB4CF6">
              <w:rPr>
                <w:rStyle w:val="Hipervnculo"/>
                <w:rFonts w:ascii="Times New Roman" w:hAnsi="Times New Roman" w:cs="Times New Roman"/>
                <w:noProof/>
                <w:lang w:eastAsia="es-EC"/>
              </w:rPr>
              <w:t>RESULTADOS Y DISCUSIÓN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41</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42" w:history="1">
            <w:r w:rsidR="00CB4CF6" w:rsidRPr="00CB4CF6">
              <w:rPr>
                <w:rStyle w:val="Hipervnculo"/>
                <w:rFonts w:ascii="Times New Roman" w:hAnsi="Times New Roman" w:cs="Times New Roman"/>
                <w:noProof/>
                <w:lang w:eastAsia="es-EC"/>
              </w:rPr>
              <w:t>5.1.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Caracterización de los sustratos e inóculo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41</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43" w:history="1">
            <w:r w:rsidR="00CB4CF6" w:rsidRPr="00CB4CF6">
              <w:rPr>
                <w:rStyle w:val="Hipervnculo"/>
                <w:rFonts w:ascii="Times New Roman" w:hAnsi="Times New Roman" w:cs="Times New Roman"/>
                <w:noProof/>
                <w:lang w:eastAsia="es-EC"/>
              </w:rPr>
              <w:t>5.1.1.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Características de los Sustratos e inóculo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41</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44" w:history="1">
            <w:r w:rsidR="00CB4CF6" w:rsidRPr="00CB4CF6">
              <w:rPr>
                <w:rStyle w:val="Hipervnculo"/>
                <w:rFonts w:ascii="Times New Roman" w:hAnsi="Times New Roman" w:cs="Times New Roman"/>
                <w:noProof/>
                <w:lang w:eastAsia="es-EC"/>
              </w:rPr>
              <w:t>5.2.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Producción de biogás y metano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42</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45" w:history="1">
            <w:r w:rsidR="00CB4CF6" w:rsidRPr="00CB4CF6">
              <w:rPr>
                <w:rStyle w:val="Hipervnculo"/>
                <w:rFonts w:ascii="Times New Roman" w:hAnsi="Times New Roman" w:cs="Times New Roman"/>
                <w:noProof/>
                <w:lang w:eastAsia="es-EC"/>
              </w:rPr>
              <w:t>5.2.1.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Rendimiento de biogás diario para razones diferentes de I:S y RE:TR</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42</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46" w:history="1">
            <w:r w:rsidR="00CB4CF6" w:rsidRPr="00CB4CF6">
              <w:rPr>
                <w:rStyle w:val="Hipervnculo"/>
                <w:rFonts w:ascii="Times New Roman" w:hAnsi="Times New Roman" w:cs="Times New Roman"/>
                <w:noProof/>
                <w:lang w:eastAsia="es-EC"/>
              </w:rPr>
              <w:t>5.2.2.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Rendimiento de biogás acumulado para razones diferentes de I:S y RE:TR</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43</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47" w:history="1">
            <w:r w:rsidR="00CB4CF6" w:rsidRPr="00CB4CF6">
              <w:rPr>
                <w:rStyle w:val="Hipervnculo"/>
                <w:rFonts w:ascii="Times New Roman" w:hAnsi="Times New Roman" w:cs="Times New Roman"/>
                <w:noProof/>
                <w:lang w:eastAsia="es-EC"/>
              </w:rPr>
              <w:t>5.2.3.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Rendimiento de metano diario</w:t>
            </w:r>
            <w:r w:rsidR="00CB4CF6" w:rsidRPr="00CB4CF6">
              <w:rPr>
                <w:rStyle w:val="Hipervnculo"/>
                <w:rFonts w:ascii="Times New Roman" w:hAnsi="Times New Roman" w:cs="Times New Roman"/>
                <w:noProof/>
              </w:rPr>
              <w:t xml:space="preserve"> </w:t>
            </w:r>
            <w:r w:rsidR="00CB4CF6" w:rsidRPr="00CB4CF6">
              <w:rPr>
                <w:rStyle w:val="Hipervnculo"/>
                <w:rFonts w:ascii="Times New Roman" w:hAnsi="Times New Roman" w:cs="Times New Roman"/>
                <w:noProof/>
                <w:lang w:eastAsia="es-EC"/>
              </w:rPr>
              <w:t>para razones diferentes de I:S y RE:TR</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45</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48" w:history="1">
            <w:r w:rsidR="00CB4CF6" w:rsidRPr="00CB4CF6">
              <w:rPr>
                <w:rStyle w:val="Hipervnculo"/>
                <w:rFonts w:ascii="Times New Roman" w:hAnsi="Times New Roman" w:cs="Times New Roman"/>
                <w:noProof/>
                <w:lang w:eastAsia="es-EC"/>
              </w:rPr>
              <w:t>5.2.4.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Rendimiento de metano acumulado</w:t>
            </w:r>
            <w:r w:rsidR="00CB4CF6" w:rsidRPr="00CB4CF6">
              <w:rPr>
                <w:rStyle w:val="Hipervnculo"/>
                <w:rFonts w:ascii="Times New Roman" w:hAnsi="Times New Roman" w:cs="Times New Roman"/>
                <w:noProof/>
              </w:rPr>
              <w:t xml:space="preserve"> </w:t>
            </w:r>
            <w:r w:rsidR="00CB4CF6" w:rsidRPr="00CB4CF6">
              <w:rPr>
                <w:rStyle w:val="Hipervnculo"/>
                <w:rFonts w:ascii="Times New Roman" w:hAnsi="Times New Roman" w:cs="Times New Roman"/>
                <w:noProof/>
                <w:lang w:eastAsia="es-EC"/>
              </w:rPr>
              <w:t>para razones diferentes de I:S y RE:TR</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47</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49" w:history="1">
            <w:r w:rsidR="00CB4CF6" w:rsidRPr="00CB4CF6">
              <w:rPr>
                <w:rStyle w:val="Hipervnculo"/>
                <w:rFonts w:ascii="Times New Roman" w:hAnsi="Times New Roman" w:cs="Times New Roman"/>
                <w:noProof/>
                <w:lang w:eastAsia="es-EC"/>
              </w:rPr>
              <w:t>5.3.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Efecto del pH sobre el rendimiento de metano acumulado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_Toc9537849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48</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50" w:history="1">
            <w:r w:rsidR="00CB4CF6" w:rsidRPr="00CB4CF6">
              <w:rPr>
                <w:rStyle w:val="Hipervnculo"/>
                <w:rFonts w:ascii="Times New Roman" w:hAnsi="Times New Roman" w:cs="Times New Roman"/>
                <w:noProof/>
                <w:lang w:eastAsia="es-EC"/>
              </w:rPr>
              <w:t>5.4.</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Efecto de la relación C/N en la producción de metano.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49</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51" w:history="1">
            <w:r w:rsidR="00CB4CF6" w:rsidRPr="00CB4CF6">
              <w:rPr>
                <w:rStyle w:val="Hipervnculo"/>
                <w:rFonts w:ascii="Times New Roman" w:hAnsi="Times New Roman" w:cs="Times New Roman"/>
                <w:noProof/>
                <w:lang w:eastAsia="es-EC"/>
              </w:rPr>
              <w:t>5.5.</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Índice de efecto sinérgico y biodegradabilidad.</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50</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52" w:history="1">
            <w:r w:rsidR="00CB4CF6" w:rsidRPr="00CB4CF6">
              <w:rPr>
                <w:rStyle w:val="Hipervnculo"/>
                <w:rFonts w:ascii="Times New Roman" w:hAnsi="Times New Roman" w:cs="Times New Roman"/>
                <w:noProof/>
                <w:lang w:eastAsia="es-EC"/>
              </w:rPr>
              <w:t>5.6.</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Contraste cinético de la producción de biogás (metano)</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51</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53" w:history="1">
            <w:r w:rsidR="00CB4CF6" w:rsidRPr="00CB4CF6">
              <w:rPr>
                <w:rStyle w:val="Hipervnculo"/>
                <w:rFonts w:ascii="Times New Roman" w:hAnsi="Times New Roman" w:cs="Times New Roman"/>
                <w:noProof/>
                <w:lang w:eastAsia="es-EC"/>
              </w:rPr>
              <w:t>5.6.1.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Ajuste de los modelos cinéticos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51</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54" w:history="1">
            <w:r w:rsidR="00CB4CF6" w:rsidRPr="00CB4CF6">
              <w:rPr>
                <w:rStyle w:val="Hipervnculo"/>
                <w:rFonts w:ascii="Times New Roman" w:hAnsi="Times New Roman" w:cs="Times New Roman"/>
                <w:noProof/>
                <w:lang w:eastAsia="es-EC"/>
              </w:rPr>
              <w:t>5.6.2.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lang w:eastAsia="es-EC"/>
              </w:rPr>
              <w:t>Parámetros estimados de los modelos cinéticos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53</w:t>
            </w:r>
            <w:r w:rsidR="00CB4CF6" w:rsidRPr="00CB4CF6">
              <w:rPr>
                <w:rFonts w:ascii="Times New Roman" w:hAnsi="Times New Roman" w:cs="Times New Roman"/>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855" w:history="1">
            <w:r w:rsidR="00CB4CF6" w:rsidRPr="00CB4CF6">
              <w:rPr>
                <w:rStyle w:val="Hipervnculo"/>
                <w:rFonts w:ascii="Times New Roman" w:hAnsi="Times New Roman" w:cs="Times New Roman"/>
                <w:noProof/>
              </w:rPr>
              <w:t>CAPITULO VI</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57</w:t>
            </w:r>
            <w:r w:rsidR="00CB4CF6" w:rsidRPr="00CB4CF6">
              <w:rPr>
                <w:rFonts w:ascii="Times New Roman" w:hAnsi="Times New Roman" w:cs="Times New Roman"/>
                <w:noProof/>
                <w:webHidden/>
              </w:rPr>
              <w:fldChar w:fldCharType="end"/>
            </w:r>
          </w:hyperlink>
        </w:p>
        <w:p w:rsidR="00CB4CF6" w:rsidRPr="00CB4CF6" w:rsidRDefault="000B7990">
          <w:pPr>
            <w:pStyle w:val="TDC3"/>
            <w:tabs>
              <w:tab w:val="left" w:pos="880"/>
              <w:tab w:val="right" w:pos="7927"/>
            </w:tabs>
            <w:rPr>
              <w:rFonts w:ascii="Times New Roman" w:eastAsiaTheme="minorEastAsia" w:hAnsi="Times New Roman" w:cs="Times New Roman"/>
              <w:i w:val="0"/>
              <w:iCs w:val="0"/>
              <w:noProof/>
              <w:sz w:val="22"/>
              <w:szCs w:val="22"/>
              <w:lang w:eastAsia="es-EC"/>
            </w:rPr>
          </w:pPr>
          <w:hyperlink w:anchor="_Toc9537856" w:history="1">
            <w:r w:rsidR="00CB4CF6" w:rsidRPr="00CB4CF6">
              <w:rPr>
                <w:rStyle w:val="Hipervnculo"/>
                <w:rFonts w:ascii="Times New Roman" w:hAnsi="Times New Roman" w:cs="Times New Roman"/>
                <w:noProof/>
              </w:rPr>
              <w:t>6.</w:t>
            </w:r>
            <w:r w:rsidR="00CB4CF6" w:rsidRPr="00CB4CF6">
              <w:rPr>
                <w:rFonts w:ascii="Times New Roman" w:eastAsiaTheme="minorEastAsia" w:hAnsi="Times New Roman" w:cs="Times New Roman"/>
                <w:i w:val="0"/>
                <w:iCs w:val="0"/>
                <w:noProof/>
                <w:sz w:val="22"/>
                <w:szCs w:val="22"/>
                <w:lang w:eastAsia="es-EC"/>
              </w:rPr>
              <w:tab/>
            </w:r>
            <w:r w:rsidR="00CB4CF6" w:rsidRPr="00CB4CF6">
              <w:rPr>
                <w:rStyle w:val="Hipervnculo"/>
                <w:rFonts w:ascii="Times New Roman" w:hAnsi="Times New Roman" w:cs="Times New Roman"/>
                <w:noProof/>
              </w:rPr>
              <w:t>COMPROBACIÓN DE HIPÓTESIS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57</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57" w:history="1">
            <w:r w:rsidR="00CB4CF6" w:rsidRPr="00CB4CF6">
              <w:rPr>
                <w:rStyle w:val="Hipervnculo"/>
                <w:rFonts w:ascii="Times New Roman" w:hAnsi="Times New Roman" w:cs="Times New Roman"/>
                <w:noProof/>
              </w:rPr>
              <w:t>6.1.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Hipótesis de Investigación</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57</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58" w:history="1">
            <w:r w:rsidR="00CB4CF6" w:rsidRPr="00CB4CF6">
              <w:rPr>
                <w:rStyle w:val="Hipervnculo"/>
                <w:rFonts w:ascii="Times New Roman" w:hAnsi="Times New Roman" w:cs="Times New Roman"/>
                <w:noProof/>
              </w:rPr>
              <w:t>6.1.1.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Hipótesis nula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57</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59" w:history="1">
            <w:r w:rsidR="00CB4CF6" w:rsidRPr="00CB4CF6">
              <w:rPr>
                <w:rStyle w:val="Hipervnculo"/>
                <w:rFonts w:ascii="Times New Roman" w:hAnsi="Times New Roman" w:cs="Times New Roman"/>
                <w:noProof/>
              </w:rPr>
              <w:t>6.1.2.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Hipótesis alterna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_Toc9537859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57</w:t>
            </w:r>
            <w:r w:rsidR="00CB4CF6" w:rsidRPr="00CB4CF6">
              <w:rPr>
                <w:rFonts w:ascii="Times New Roman" w:hAnsi="Times New Roman" w:cs="Times New Roman"/>
                <w:noProof/>
                <w:webHidden/>
              </w:rPr>
              <w:fldChar w:fldCharType="end"/>
            </w:r>
          </w:hyperlink>
        </w:p>
        <w:p w:rsidR="00CB4CF6" w:rsidRPr="00CB4CF6" w:rsidRDefault="000B7990">
          <w:pPr>
            <w:pStyle w:val="TDC4"/>
            <w:tabs>
              <w:tab w:val="left" w:pos="1320"/>
              <w:tab w:val="right" w:pos="7927"/>
            </w:tabs>
            <w:rPr>
              <w:rFonts w:ascii="Times New Roman" w:eastAsiaTheme="minorEastAsia" w:hAnsi="Times New Roman" w:cs="Times New Roman"/>
              <w:noProof/>
              <w:sz w:val="22"/>
              <w:szCs w:val="22"/>
              <w:lang w:eastAsia="es-EC"/>
            </w:rPr>
          </w:pPr>
          <w:hyperlink w:anchor="_Toc9537860" w:history="1">
            <w:r w:rsidR="00CB4CF6" w:rsidRPr="00CB4CF6">
              <w:rPr>
                <w:rStyle w:val="Hipervnculo"/>
                <w:rFonts w:ascii="Times New Roman" w:hAnsi="Times New Roman" w:cs="Times New Roman"/>
                <w:noProof/>
              </w:rPr>
              <w:t>6.2.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Análisis de varianza</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_Toc9537860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57</w:t>
            </w:r>
            <w:r w:rsidR="00CB4CF6" w:rsidRPr="00CB4CF6">
              <w:rPr>
                <w:rFonts w:ascii="Times New Roman" w:hAnsi="Times New Roman" w:cs="Times New Roman"/>
                <w:noProof/>
                <w:webHidden/>
              </w:rPr>
              <w:fldChar w:fldCharType="end"/>
            </w:r>
          </w:hyperlink>
        </w:p>
        <w:p w:rsidR="00CB4CF6" w:rsidRPr="00CB4CF6" w:rsidRDefault="000B7990">
          <w:pPr>
            <w:pStyle w:val="TDC5"/>
            <w:tabs>
              <w:tab w:val="left" w:pos="1540"/>
              <w:tab w:val="right" w:pos="7927"/>
            </w:tabs>
            <w:rPr>
              <w:rFonts w:ascii="Times New Roman" w:eastAsiaTheme="minorEastAsia" w:hAnsi="Times New Roman" w:cs="Times New Roman"/>
              <w:noProof/>
              <w:sz w:val="22"/>
              <w:szCs w:val="22"/>
              <w:lang w:eastAsia="es-EC"/>
            </w:rPr>
          </w:pPr>
          <w:hyperlink w:anchor="_Toc9537861" w:history="1">
            <w:r w:rsidR="00CB4CF6" w:rsidRPr="00CB4CF6">
              <w:rPr>
                <w:rStyle w:val="Hipervnculo"/>
                <w:rFonts w:ascii="Times New Roman" w:hAnsi="Times New Roman" w:cs="Times New Roman"/>
                <w:noProof/>
              </w:rPr>
              <w:t>6.2.1.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ANOVA para mLBiogás/g-SV, mLCH4/g-SV y %CH4 a razones diferentes de I:S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_Toc9537861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57</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62" w:history="1">
            <w:r w:rsidR="00CB4CF6" w:rsidRPr="00CB4CF6">
              <w:rPr>
                <w:rStyle w:val="Hipervnculo"/>
                <w:rFonts w:ascii="Times New Roman" w:hAnsi="Times New Roman" w:cs="Times New Roman"/>
                <w:noProof/>
              </w:rPr>
              <w:t>6.2.1.1.</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ANOVA para mLBiogás/g-SV, mLCH4/g-SV y %CH4 a una razón I:S–2:1</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_Toc9537862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58</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63" w:history="1">
            <w:r w:rsidR="00CB4CF6" w:rsidRPr="00CB4CF6">
              <w:rPr>
                <w:rStyle w:val="Hipervnculo"/>
                <w:rFonts w:ascii="Times New Roman" w:hAnsi="Times New Roman" w:cs="Times New Roman"/>
                <w:noProof/>
              </w:rPr>
              <w:t>6.2.1.2.</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ANOVA para mLBiogás/g-SV, mLCH4/g-SV y %CH4 a una razón I:S–1:1</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_Toc9537863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59</w:t>
            </w:r>
            <w:r w:rsidR="00CB4CF6" w:rsidRPr="00CB4CF6">
              <w:rPr>
                <w:rFonts w:ascii="Times New Roman" w:hAnsi="Times New Roman" w:cs="Times New Roman"/>
                <w:noProof/>
                <w:webHidden/>
              </w:rPr>
              <w:fldChar w:fldCharType="end"/>
            </w:r>
          </w:hyperlink>
        </w:p>
        <w:p w:rsidR="00CB4CF6" w:rsidRPr="00CB4CF6" w:rsidRDefault="000B7990">
          <w:pPr>
            <w:pStyle w:val="TDC6"/>
            <w:tabs>
              <w:tab w:val="left" w:pos="1860"/>
              <w:tab w:val="right" w:pos="7927"/>
            </w:tabs>
            <w:rPr>
              <w:rFonts w:ascii="Times New Roman" w:eastAsiaTheme="minorEastAsia" w:hAnsi="Times New Roman" w:cs="Times New Roman"/>
              <w:noProof/>
              <w:sz w:val="22"/>
              <w:szCs w:val="22"/>
              <w:lang w:eastAsia="es-EC"/>
            </w:rPr>
          </w:pPr>
          <w:hyperlink w:anchor="_Toc9537864" w:history="1">
            <w:r w:rsidR="00CB4CF6" w:rsidRPr="00CB4CF6">
              <w:rPr>
                <w:rStyle w:val="Hipervnculo"/>
                <w:rFonts w:ascii="Times New Roman" w:hAnsi="Times New Roman" w:cs="Times New Roman"/>
                <w:noProof/>
              </w:rPr>
              <w:t>6.2.1.3.</w:t>
            </w:r>
            <w:r w:rsidR="00CB4CF6" w:rsidRPr="00CB4CF6">
              <w:rPr>
                <w:rFonts w:ascii="Times New Roman" w:eastAsiaTheme="minorEastAsia" w:hAnsi="Times New Roman" w:cs="Times New Roman"/>
                <w:noProof/>
                <w:sz w:val="22"/>
                <w:szCs w:val="22"/>
                <w:lang w:eastAsia="es-EC"/>
              </w:rPr>
              <w:tab/>
            </w:r>
            <w:r w:rsidR="00CB4CF6" w:rsidRPr="00CB4CF6">
              <w:rPr>
                <w:rStyle w:val="Hipervnculo"/>
                <w:rFonts w:ascii="Times New Roman" w:hAnsi="Times New Roman" w:cs="Times New Roman"/>
                <w:noProof/>
              </w:rPr>
              <w:t>ANOVA para mLBiogás/g-SV, mLCH4/g-SV y %CH4 a una razón I:S–1:2</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_Toc9537864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60</w:t>
            </w:r>
            <w:r w:rsidR="00CB4CF6" w:rsidRPr="00CB4CF6">
              <w:rPr>
                <w:rFonts w:ascii="Times New Roman" w:hAnsi="Times New Roman" w:cs="Times New Roman"/>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865" w:history="1">
            <w:r w:rsidR="00CB4CF6" w:rsidRPr="00CB4CF6">
              <w:rPr>
                <w:rStyle w:val="Hipervnculo"/>
                <w:rFonts w:ascii="Times New Roman" w:hAnsi="Times New Roman" w:cs="Times New Roman"/>
                <w:noProof/>
              </w:rPr>
              <w:t>CAPITULO VII</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_Toc9537865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63</w:t>
            </w:r>
            <w:r w:rsidR="00CB4CF6" w:rsidRPr="00CB4CF6">
              <w:rPr>
                <w:rFonts w:ascii="Times New Roman" w:hAnsi="Times New Roman" w:cs="Times New Roman"/>
                <w:noProof/>
                <w:webHidden/>
              </w:rPr>
              <w:fldChar w:fldCharType="end"/>
            </w:r>
          </w:hyperlink>
        </w:p>
        <w:p w:rsidR="00CB4CF6" w:rsidRPr="00CB4CF6" w:rsidRDefault="000B7990">
          <w:pPr>
            <w:pStyle w:val="TDC3"/>
            <w:tabs>
              <w:tab w:val="left" w:pos="880"/>
              <w:tab w:val="right" w:pos="7927"/>
            </w:tabs>
            <w:rPr>
              <w:rFonts w:ascii="Times New Roman" w:eastAsiaTheme="minorEastAsia" w:hAnsi="Times New Roman" w:cs="Times New Roman"/>
              <w:i w:val="0"/>
              <w:iCs w:val="0"/>
              <w:noProof/>
              <w:sz w:val="22"/>
              <w:szCs w:val="22"/>
              <w:lang w:eastAsia="es-EC"/>
            </w:rPr>
          </w:pPr>
          <w:hyperlink w:anchor="_Toc9537866" w:history="1">
            <w:r w:rsidR="00CB4CF6" w:rsidRPr="00CB4CF6">
              <w:rPr>
                <w:rStyle w:val="Hipervnculo"/>
                <w:rFonts w:ascii="Times New Roman" w:hAnsi="Times New Roman" w:cs="Times New Roman"/>
                <w:noProof/>
              </w:rPr>
              <w:t>7.</w:t>
            </w:r>
            <w:r w:rsidR="00CB4CF6" w:rsidRPr="00CB4CF6">
              <w:rPr>
                <w:rFonts w:ascii="Times New Roman" w:eastAsiaTheme="minorEastAsia" w:hAnsi="Times New Roman" w:cs="Times New Roman"/>
                <w:i w:val="0"/>
                <w:iCs w:val="0"/>
                <w:noProof/>
                <w:sz w:val="22"/>
                <w:szCs w:val="22"/>
                <w:lang w:eastAsia="es-EC"/>
              </w:rPr>
              <w:tab/>
            </w:r>
            <w:r w:rsidR="00CB4CF6" w:rsidRPr="00CB4CF6">
              <w:rPr>
                <w:rStyle w:val="Hipervnculo"/>
                <w:rFonts w:ascii="Times New Roman" w:hAnsi="Times New Roman" w:cs="Times New Roman"/>
                <w:noProof/>
              </w:rPr>
              <w:t>CONCLUSIONES Y RECOMENDACIONES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_Toc9537866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63</w:t>
            </w:r>
            <w:r w:rsidR="00CB4CF6" w:rsidRPr="00CB4CF6">
              <w:rPr>
                <w:rFonts w:ascii="Times New Roman" w:hAnsi="Times New Roman" w:cs="Times New Roman"/>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867" w:history="1">
            <w:r w:rsidR="00CB4CF6" w:rsidRPr="00CB4CF6">
              <w:rPr>
                <w:rStyle w:val="Hipervnculo"/>
                <w:rFonts w:ascii="Times New Roman" w:hAnsi="Times New Roman" w:cs="Times New Roman"/>
                <w:noProof/>
              </w:rPr>
              <w:t>REFERENCIAS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_Toc9537867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65</w:t>
            </w:r>
            <w:r w:rsidR="00CB4CF6" w:rsidRPr="00CB4CF6">
              <w:rPr>
                <w:rFonts w:ascii="Times New Roman" w:hAnsi="Times New Roman" w:cs="Times New Roman"/>
                <w:noProof/>
                <w:webHidden/>
              </w:rPr>
              <w:fldChar w:fldCharType="end"/>
            </w:r>
          </w:hyperlink>
        </w:p>
        <w:p w:rsidR="00CB4CF6" w:rsidRPr="00CB4CF6" w:rsidRDefault="000B7990">
          <w:pPr>
            <w:pStyle w:val="TDC2"/>
            <w:tabs>
              <w:tab w:val="right" w:pos="7927"/>
            </w:tabs>
            <w:rPr>
              <w:rFonts w:ascii="Times New Roman" w:eastAsiaTheme="minorEastAsia" w:hAnsi="Times New Roman" w:cs="Times New Roman"/>
              <w:smallCaps w:val="0"/>
              <w:noProof/>
              <w:sz w:val="22"/>
              <w:szCs w:val="22"/>
              <w:lang w:eastAsia="es-EC"/>
            </w:rPr>
          </w:pPr>
          <w:hyperlink w:anchor="_Toc9537868" w:history="1">
            <w:r w:rsidR="00CB4CF6" w:rsidRPr="00CB4CF6">
              <w:rPr>
                <w:rStyle w:val="Hipervnculo"/>
                <w:rFonts w:ascii="Times New Roman" w:hAnsi="Times New Roman" w:cs="Times New Roman"/>
                <w:noProof/>
              </w:rPr>
              <w:t>ANEXOS</w:t>
            </w:r>
            <w:r w:rsidR="00CB4CF6" w:rsidRPr="00CB4CF6">
              <w:rPr>
                <w:rFonts w:ascii="Times New Roman" w:hAnsi="Times New Roman" w:cs="Times New Roman"/>
                <w:noProof/>
                <w:webHidden/>
              </w:rPr>
              <w:tab/>
            </w:r>
            <w:r w:rsidR="00CB4CF6" w:rsidRPr="00CB4CF6">
              <w:rPr>
                <w:rFonts w:ascii="Times New Roman" w:hAnsi="Times New Roman" w:cs="Times New Roman"/>
                <w:noProof/>
                <w:webHidden/>
              </w:rPr>
              <w:fldChar w:fldCharType="begin"/>
            </w:r>
            <w:r w:rsidR="00CB4CF6" w:rsidRPr="00CB4CF6">
              <w:rPr>
                <w:rFonts w:ascii="Times New Roman" w:hAnsi="Times New Roman" w:cs="Times New Roman"/>
                <w:noProof/>
                <w:webHidden/>
              </w:rPr>
              <w:instrText xml:space="preserve"> PAGEREF _Toc9537868 \h </w:instrText>
            </w:r>
            <w:r w:rsidR="00CB4CF6" w:rsidRPr="00CB4CF6">
              <w:rPr>
                <w:rFonts w:ascii="Times New Roman" w:hAnsi="Times New Roman" w:cs="Times New Roman"/>
                <w:noProof/>
                <w:webHidden/>
              </w:rPr>
            </w:r>
            <w:r w:rsidR="00CB4CF6" w:rsidRPr="00CB4CF6">
              <w:rPr>
                <w:rFonts w:ascii="Times New Roman" w:hAnsi="Times New Roman" w:cs="Times New Roman"/>
                <w:noProof/>
                <w:webHidden/>
              </w:rPr>
              <w:fldChar w:fldCharType="separate"/>
            </w:r>
            <w:r w:rsidR="00CB4CF6" w:rsidRPr="00CB4CF6">
              <w:rPr>
                <w:rFonts w:ascii="Times New Roman" w:hAnsi="Times New Roman" w:cs="Times New Roman"/>
                <w:noProof/>
                <w:webHidden/>
              </w:rPr>
              <w:t>70</w:t>
            </w:r>
            <w:r w:rsidR="00CB4CF6" w:rsidRPr="00CB4CF6">
              <w:rPr>
                <w:rFonts w:ascii="Times New Roman" w:hAnsi="Times New Roman" w:cs="Times New Roman"/>
                <w:noProof/>
                <w:webHidden/>
              </w:rPr>
              <w:fldChar w:fldCharType="end"/>
            </w:r>
          </w:hyperlink>
        </w:p>
        <w:p w:rsidR="00DF230B" w:rsidRPr="00686018" w:rsidRDefault="00E15592" w:rsidP="00A31608">
          <w:pPr>
            <w:jc w:val="both"/>
            <w:rPr>
              <w:rFonts w:ascii="Times New Roman" w:hAnsi="Times New Roman" w:cs="Times New Roman"/>
            </w:rPr>
          </w:pPr>
          <w:r w:rsidRPr="00CB4CF6">
            <w:rPr>
              <w:rFonts w:ascii="Times New Roman" w:hAnsi="Times New Roman" w:cs="Times New Roman"/>
              <w:b/>
              <w:bCs/>
              <w:caps/>
              <w:sz w:val="20"/>
              <w:szCs w:val="20"/>
            </w:rPr>
            <w:fldChar w:fldCharType="end"/>
          </w:r>
        </w:p>
      </w:sdtContent>
    </w:sdt>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053ED9" w:rsidRPr="00686018" w:rsidRDefault="00053ED9" w:rsidP="00A31608">
      <w:pPr>
        <w:jc w:val="both"/>
        <w:rPr>
          <w:rFonts w:ascii="Times New Roman" w:hAnsi="Times New Roman" w:cs="Times New Roman"/>
          <w:b/>
          <w:sz w:val="28"/>
          <w:szCs w:val="24"/>
        </w:rPr>
      </w:pPr>
    </w:p>
    <w:p w:rsidR="00D6021F" w:rsidRDefault="00D6021F" w:rsidP="00A31608">
      <w:pPr>
        <w:jc w:val="both"/>
        <w:rPr>
          <w:rFonts w:ascii="Times New Roman" w:hAnsi="Times New Roman" w:cs="Times New Roman"/>
          <w:b/>
          <w:sz w:val="28"/>
          <w:szCs w:val="24"/>
        </w:rPr>
      </w:pPr>
    </w:p>
    <w:p w:rsidR="00056941" w:rsidRDefault="00056941" w:rsidP="00A31608">
      <w:pPr>
        <w:jc w:val="both"/>
        <w:rPr>
          <w:rFonts w:ascii="Times New Roman" w:hAnsi="Times New Roman" w:cs="Times New Roman"/>
          <w:b/>
          <w:sz w:val="28"/>
          <w:szCs w:val="24"/>
        </w:rPr>
      </w:pPr>
    </w:p>
    <w:p w:rsidR="00416C9D" w:rsidRDefault="00416C9D" w:rsidP="00A31608">
      <w:pPr>
        <w:jc w:val="both"/>
        <w:rPr>
          <w:rFonts w:ascii="Times New Roman" w:hAnsi="Times New Roman" w:cs="Times New Roman"/>
          <w:b/>
          <w:sz w:val="28"/>
          <w:szCs w:val="24"/>
        </w:rPr>
      </w:pPr>
    </w:p>
    <w:p w:rsidR="00416C9D" w:rsidRDefault="00416C9D" w:rsidP="00A31608">
      <w:pPr>
        <w:jc w:val="both"/>
        <w:rPr>
          <w:rFonts w:ascii="Times New Roman" w:hAnsi="Times New Roman" w:cs="Times New Roman"/>
          <w:b/>
          <w:sz w:val="28"/>
          <w:szCs w:val="24"/>
        </w:rPr>
      </w:pPr>
    </w:p>
    <w:p w:rsidR="00416C9D" w:rsidRDefault="00416C9D" w:rsidP="00A31608">
      <w:pPr>
        <w:jc w:val="both"/>
        <w:rPr>
          <w:rFonts w:ascii="Times New Roman" w:hAnsi="Times New Roman" w:cs="Times New Roman"/>
          <w:b/>
          <w:sz w:val="28"/>
          <w:szCs w:val="24"/>
        </w:rPr>
      </w:pPr>
    </w:p>
    <w:p w:rsidR="00416C9D" w:rsidRDefault="00416C9D" w:rsidP="00A31608">
      <w:pPr>
        <w:jc w:val="both"/>
        <w:rPr>
          <w:rFonts w:ascii="Times New Roman" w:hAnsi="Times New Roman" w:cs="Times New Roman"/>
          <w:b/>
          <w:sz w:val="28"/>
          <w:szCs w:val="24"/>
        </w:rPr>
      </w:pPr>
    </w:p>
    <w:p w:rsidR="00416C9D" w:rsidRDefault="00416C9D" w:rsidP="00A31608">
      <w:pPr>
        <w:jc w:val="both"/>
        <w:rPr>
          <w:rFonts w:ascii="Times New Roman" w:hAnsi="Times New Roman" w:cs="Times New Roman"/>
          <w:b/>
          <w:sz w:val="28"/>
          <w:szCs w:val="24"/>
        </w:rPr>
      </w:pPr>
    </w:p>
    <w:p w:rsidR="00686018" w:rsidRPr="00686018" w:rsidRDefault="00686018" w:rsidP="00A31608">
      <w:pPr>
        <w:jc w:val="both"/>
        <w:rPr>
          <w:rFonts w:ascii="Times New Roman" w:hAnsi="Times New Roman" w:cs="Times New Roman"/>
          <w:b/>
          <w:sz w:val="28"/>
          <w:szCs w:val="24"/>
        </w:rPr>
      </w:pPr>
    </w:p>
    <w:p w:rsidR="00E15592" w:rsidRPr="00E15592" w:rsidRDefault="00BE205A" w:rsidP="00E15592">
      <w:pPr>
        <w:pStyle w:val="Ttulo7"/>
        <w:jc w:val="both"/>
        <w:rPr>
          <w:rFonts w:cs="Times New Roman"/>
          <w:sz w:val="28"/>
        </w:rPr>
      </w:pPr>
      <w:bookmarkStart w:id="10" w:name="_Toc9537767"/>
      <w:r w:rsidRPr="00686018">
        <w:rPr>
          <w:rFonts w:cs="Times New Roman"/>
          <w:sz w:val="28"/>
        </w:rPr>
        <w:lastRenderedPageBreak/>
        <w:t>Índice de Figuras</w:t>
      </w:r>
      <w:bookmarkEnd w:id="10"/>
    </w:p>
    <w:p w:rsidR="00053ED9" w:rsidRPr="00E15592" w:rsidRDefault="00E15592" w:rsidP="00A31608">
      <w:pPr>
        <w:jc w:val="both"/>
        <w:rPr>
          <w:rFonts w:ascii="Times New Roman" w:hAnsi="Times New Roman" w:cs="Times New Roman"/>
          <w:b/>
          <w:sz w:val="24"/>
          <w:szCs w:val="24"/>
        </w:rPr>
      </w:pPr>
      <w:r w:rsidRPr="00E15592">
        <w:rPr>
          <w:rFonts w:ascii="Times New Roman" w:hAnsi="Times New Roman" w:cs="Times New Roman"/>
          <w:b/>
          <w:sz w:val="24"/>
          <w:szCs w:val="24"/>
        </w:rPr>
        <w:t xml:space="preserve">Figura N°                                                                                           </w:t>
      </w:r>
      <w:r>
        <w:rPr>
          <w:rFonts w:ascii="Times New Roman" w:hAnsi="Times New Roman" w:cs="Times New Roman"/>
          <w:b/>
          <w:sz w:val="24"/>
          <w:szCs w:val="24"/>
        </w:rPr>
        <w:t xml:space="preserve">                </w:t>
      </w:r>
      <w:r w:rsidRPr="00E1559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E15592">
        <w:rPr>
          <w:rFonts w:ascii="Times New Roman" w:hAnsi="Times New Roman" w:cs="Times New Roman"/>
          <w:b/>
          <w:sz w:val="24"/>
          <w:szCs w:val="24"/>
        </w:rPr>
        <w:t>Pág.</w:t>
      </w:r>
    </w:p>
    <w:p w:rsidR="00CB4CF6" w:rsidRDefault="006965BA">
      <w:pPr>
        <w:pStyle w:val="Tabladeilustraciones"/>
        <w:tabs>
          <w:tab w:val="right" w:pos="7927"/>
        </w:tabs>
        <w:rPr>
          <w:rFonts w:eastAsiaTheme="minorEastAsia"/>
          <w:smallCaps w:val="0"/>
          <w:noProof/>
          <w:sz w:val="22"/>
          <w:szCs w:val="22"/>
          <w:lang w:eastAsia="es-EC"/>
        </w:rPr>
      </w:pPr>
      <w:r w:rsidRPr="00686018">
        <w:rPr>
          <w:rFonts w:ascii="Times New Roman" w:hAnsi="Times New Roman" w:cs="Times New Roman"/>
          <w:smallCaps w:val="0"/>
          <w:sz w:val="24"/>
          <w:szCs w:val="24"/>
        </w:rPr>
        <w:fldChar w:fldCharType="begin"/>
      </w:r>
      <w:r w:rsidRPr="00686018">
        <w:rPr>
          <w:rFonts w:ascii="Times New Roman" w:hAnsi="Times New Roman" w:cs="Times New Roman"/>
          <w:smallCaps w:val="0"/>
          <w:sz w:val="24"/>
          <w:szCs w:val="24"/>
        </w:rPr>
        <w:instrText xml:space="preserve"> TOC \h \z \c "Figure" </w:instrText>
      </w:r>
      <w:r w:rsidRPr="00686018">
        <w:rPr>
          <w:rFonts w:ascii="Times New Roman" w:hAnsi="Times New Roman" w:cs="Times New Roman"/>
          <w:smallCaps w:val="0"/>
          <w:sz w:val="24"/>
          <w:szCs w:val="24"/>
        </w:rPr>
        <w:fldChar w:fldCharType="separate"/>
      </w:r>
      <w:hyperlink w:anchor="_Toc9537869"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w:t>
        </w:r>
        <w:r w:rsidR="00CB4CF6" w:rsidRPr="007207DB">
          <w:rPr>
            <w:rStyle w:val="Hipervnculo"/>
            <w:rFonts w:ascii="Times New Roman" w:hAnsi="Times New Roman" w:cs="Times New Roman"/>
            <w:noProof/>
          </w:rPr>
          <w:t xml:space="preserve"> Etapas involucradas en la digestión anaerobia.</w:t>
        </w:r>
        <w:r w:rsidR="00CB4CF6">
          <w:rPr>
            <w:noProof/>
            <w:webHidden/>
          </w:rPr>
          <w:tab/>
        </w:r>
        <w:r w:rsidR="00CB4CF6">
          <w:rPr>
            <w:noProof/>
            <w:webHidden/>
          </w:rPr>
          <w:fldChar w:fldCharType="begin"/>
        </w:r>
        <w:r w:rsidR="00CB4CF6">
          <w:rPr>
            <w:noProof/>
            <w:webHidden/>
          </w:rPr>
          <w:instrText xml:space="preserve"> PAGEREF _Toc9537869 \h </w:instrText>
        </w:r>
        <w:r w:rsidR="00CB4CF6">
          <w:rPr>
            <w:noProof/>
            <w:webHidden/>
          </w:rPr>
        </w:r>
        <w:r w:rsidR="00CB4CF6">
          <w:rPr>
            <w:noProof/>
            <w:webHidden/>
          </w:rPr>
          <w:fldChar w:fldCharType="separate"/>
        </w:r>
        <w:r w:rsidR="00CB4CF6">
          <w:rPr>
            <w:noProof/>
            <w:webHidden/>
          </w:rPr>
          <w:t>7</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0"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 </w:t>
        </w:r>
        <w:r w:rsidR="00CB4CF6" w:rsidRPr="007207DB">
          <w:rPr>
            <w:rStyle w:val="Hipervnculo"/>
            <w:rFonts w:ascii="Times New Roman" w:hAnsi="Times New Roman" w:cs="Times New Roman"/>
            <w:noProof/>
          </w:rPr>
          <w:t>Efecto de la temperatura en la remoción de la DQO.</w:t>
        </w:r>
        <w:r w:rsidR="00CB4CF6">
          <w:rPr>
            <w:noProof/>
            <w:webHidden/>
          </w:rPr>
          <w:tab/>
        </w:r>
        <w:r w:rsidR="00CB4CF6">
          <w:rPr>
            <w:noProof/>
            <w:webHidden/>
          </w:rPr>
          <w:fldChar w:fldCharType="begin"/>
        </w:r>
        <w:r w:rsidR="00CB4CF6">
          <w:rPr>
            <w:noProof/>
            <w:webHidden/>
          </w:rPr>
          <w:instrText xml:space="preserve"> PAGEREF _Toc9537870 \h </w:instrText>
        </w:r>
        <w:r w:rsidR="00CB4CF6">
          <w:rPr>
            <w:noProof/>
            <w:webHidden/>
          </w:rPr>
        </w:r>
        <w:r w:rsidR="00CB4CF6">
          <w:rPr>
            <w:noProof/>
            <w:webHidden/>
          </w:rPr>
          <w:fldChar w:fldCharType="separate"/>
        </w:r>
        <w:r w:rsidR="00CB4CF6">
          <w:rPr>
            <w:noProof/>
            <w:webHidden/>
          </w:rPr>
          <w:t>9</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1"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3.</w:t>
        </w:r>
        <w:r w:rsidR="00CB4CF6" w:rsidRPr="007207DB">
          <w:rPr>
            <w:rStyle w:val="Hipervnculo"/>
            <w:rFonts w:ascii="Times New Roman" w:hAnsi="Times New Roman" w:cs="Times New Roman"/>
            <w:noProof/>
          </w:rPr>
          <w:t xml:space="preserve"> Efecto de la temperatura en la producción de biogás</w:t>
        </w:r>
        <w:r w:rsidR="00CB4CF6">
          <w:rPr>
            <w:noProof/>
            <w:webHidden/>
          </w:rPr>
          <w:tab/>
        </w:r>
        <w:r w:rsidR="00CB4CF6">
          <w:rPr>
            <w:noProof/>
            <w:webHidden/>
          </w:rPr>
          <w:fldChar w:fldCharType="begin"/>
        </w:r>
        <w:r w:rsidR="00CB4CF6">
          <w:rPr>
            <w:noProof/>
            <w:webHidden/>
          </w:rPr>
          <w:instrText xml:space="preserve"> PAGEREF _Toc9537871 \h </w:instrText>
        </w:r>
        <w:r w:rsidR="00CB4CF6">
          <w:rPr>
            <w:noProof/>
            <w:webHidden/>
          </w:rPr>
        </w:r>
        <w:r w:rsidR="00CB4CF6">
          <w:rPr>
            <w:noProof/>
            <w:webHidden/>
          </w:rPr>
          <w:fldChar w:fldCharType="separate"/>
        </w:r>
        <w:r w:rsidR="00CB4CF6">
          <w:rPr>
            <w:noProof/>
            <w:webHidden/>
          </w:rPr>
          <w:t>10</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2"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4.</w:t>
        </w:r>
        <w:r w:rsidR="00CB4CF6" w:rsidRPr="007207DB">
          <w:rPr>
            <w:rStyle w:val="Hipervnculo"/>
            <w:rFonts w:ascii="Times New Roman" w:hAnsi="Times New Roman" w:cs="Times New Roman"/>
            <w:noProof/>
          </w:rPr>
          <w:t xml:space="preserve"> Efecto del pH en la producción de biogás.</w:t>
        </w:r>
        <w:r w:rsidR="00CB4CF6">
          <w:rPr>
            <w:noProof/>
            <w:webHidden/>
          </w:rPr>
          <w:tab/>
        </w:r>
        <w:r w:rsidR="00CB4CF6">
          <w:rPr>
            <w:noProof/>
            <w:webHidden/>
          </w:rPr>
          <w:fldChar w:fldCharType="begin"/>
        </w:r>
        <w:r w:rsidR="00CB4CF6">
          <w:rPr>
            <w:noProof/>
            <w:webHidden/>
          </w:rPr>
          <w:instrText xml:space="preserve"> PAGEREF _Toc9537872 \h </w:instrText>
        </w:r>
        <w:r w:rsidR="00CB4CF6">
          <w:rPr>
            <w:noProof/>
            <w:webHidden/>
          </w:rPr>
        </w:r>
        <w:r w:rsidR="00CB4CF6">
          <w:rPr>
            <w:noProof/>
            <w:webHidden/>
          </w:rPr>
          <w:fldChar w:fldCharType="separate"/>
        </w:r>
        <w:r w:rsidR="00CB4CF6">
          <w:rPr>
            <w:noProof/>
            <w:webHidden/>
          </w:rPr>
          <w:t>11</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3"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5.</w:t>
        </w:r>
        <w:r w:rsidR="00CB4CF6" w:rsidRPr="007207DB">
          <w:rPr>
            <w:rStyle w:val="Hipervnculo"/>
            <w:rFonts w:ascii="Times New Roman" w:hAnsi="Times New Roman" w:cs="Times New Roman"/>
            <w:noProof/>
          </w:rPr>
          <w:t xml:space="preserve"> Efecto de TCO en la formación de AGV.</w:t>
        </w:r>
        <w:r w:rsidR="00CB4CF6">
          <w:rPr>
            <w:noProof/>
            <w:webHidden/>
          </w:rPr>
          <w:tab/>
        </w:r>
        <w:r w:rsidR="00CB4CF6">
          <w:rPr>
            <w:noProof/>
            <w:webHidden/>
          </w:rPr>
          <w:fldChar w:fldCharType="begin"/>
        </w:r>
        <w:r w:rsidR="00CB4CF6">
          <w:rPr>
            <w:noProof/>
            <w:webHidden/>
          </w:rPr>
          <w:instrText xml:space="preserve"> PAGEREF _Toc9537873 \h </w:instrText>
        </w:r>
        <w:r w:rsidR="00CB4CF6">
          <w:rPr>
            <w:noProof/>
            <w:webHidden/>
          </w:rPr>
        </w:r>
        <w:r w:rsidR="00CB4CF6">
          <w:rPr>
            <w:noProof/>
            <w:webHidden/>
          </w:rPr>
          <w:fldChar w:fldCharType="separate"/>
        </w:r>
        <w:r w:rsidR="00CB4CF6">
          <w:rPr>
            <w:noProof/>
            <w:webHidden/>
          </w:rPr>
          <w:t>12</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4"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6.</w:t>
        </w:r>
        <w:r w:rsidR="00CB4CF6" w:rsidRPr="007207DB">
          <w:rPr>
            <w:rStyle w:val="Hipervnculo"/>
            <w:rFonts w:ascii="Times New Roman" w:hAnsi="Times New Roman" w:cs="Times New Roman"/>
            <w:noProof/>
          </w:rPr>
          <w:t xml:space="preserve"> Efecto de TCO en el rendimiento de biogás y concentración de metano.</w:t>
        </w:r>
        <w:r w:rsidR="00CB4CF6">
          <w:rPr>
            <w:noProof/>
            <w:webHidden/>
          </w:rPr>
          <w:tab/>
        </w:r>
        <w:r w:rsidR="00CB4CF6">
          <w:rPr>
            <w:noProof/>
            <w:webHidden/>
          </w:rPr>
          <w:fldChar w:fldCharType="begin"/>
        </w:r>
        <w:r w:rsidR="00CB4CF6">
          <w:rPr>
            <w:noProof/>
            <w:webHidden/>
          </w:rPr>
          <w:instrText xml:space="preserve"> PAGEREF _Toc9537874 \h </w:instrText>
        </w:r>
        <w:r w:rsidR="00CB4CF6">
          <w:rPr>
            <w:noProof/>
            <w:webHidden/>
          </w:rPr>
        </w:r>
        <w:r w:rsidR="00CB4CF6">
          <w:rPr>
            <w:noProof/>
            <w:webHidden/>
          </w:rPr>
          <w:fldChar w:fldCharType="separate"/>
        </w:r>
        <w:r w:rsidR="00CB4CF6">
          <w:rPr>
            <w:noProof/>
            <w:webHidden/>
          </w:rPr>
          <w:t>12</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5"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7.</w:t>
        </w:r>
        <w:r w:rsidR="00CB4CF6" w:rsidRPr="007207DB">
          <w:rPr>
            <w:rStyle w:val="Hipervnculo"/>
            <w:rFonts w:ascii="Times New Roman" w:hAnsi="Times New Roman" w:cs="Times New Roman"/>
            <w:noProof/>
          </w:rPr>
          <w:t xml:space="preserve"> Efecto de la relación C/N en el rendimiento de biogás a partir de residuos de pollo y paja de trigo.</w:t>
        </w:r>
        <w:r w:rsidR="00CB4CF6">
          <w:rPr>
            <w:noProof/>
            <w:webHidden/>
          </w:rPr>
          <w:tab/>
        </w:r>
        <w:r w:rsidR="00CB4CF6">
          <w:rPr>
            <w:noProof/>
            <w:webHidden/>
          </w:rPr>
          <w:fldChar w:fldCharType="begin"/>
        </w:r>
        <w:r w:rsidR="00CB4CF6">
          <w:rPr>
            <w:noProof/>
            <w:webHidden/>
          </w:rPr>
          <w:instrText xml:space="preserve"> PAGEREF _Toc9537875 \h </w:instrText>
        </w:r>
        <w:r w:rsidR="00CB4CF6">
          <w:rPr>
            <w:noProof/>
            <w:webHidden/>
          </w:rPr>
        </w:r>
        <w:r w:rsidR="00CB4CF6">
          <w:rPr>
            <w:noProof/>
            <w:webHidden/>
          </w:rPr>
          <w:fldChar w:fldCharType="separate"/>
        </w:r>
        <w:r w:rsidR="00CB4CF6">
          <w:rPr>
            <w:noProof/>
            <w:webHidden/>
          </w:rPr>
          <w:t>14</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6"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8.</w:t>
        </w:r>
        <w:r w:rsidR="00CB4CF6" w:rsidRPr="007207DB">
          <w:rPr>
            <w:rStyle w:val="Hipervnculo"/>
            <w:rFonts w:ascii="Times New Roman" w:hAnsi="Times New Roman" w:cs="Times New Roman"/>
            <w:noProof/>
          </w:rPr>
          <w:t xml:space="preserve"> Distribución de celulosa, hemicelulosa y lignina en la pared celular de los sustratos lignocelulósicos.</w:t>
        </w:r>
        <w:r w:rsidR="00CB4CF6">
          <w:rPr>
            <w:noProof/>
            <w:webHidden/>
          </w:rPr>
          <w:tab/>
        </w:r>
        <w:r w:rsidR="00CB4CF6">
          <w:rPr>
            <w:noProof/>
            <w:webHidden/>
          </w:rPr>
          <w:fldChar w:fldCharType="begin"/>
        </w:r>
        <w:r w:rsidR="00CB4CF6">
          <w:rPr>
            <w:noProof/>
            <w:webHidden/>
          </w:rPr>
          <w:instrText xml:space="preserve"> PAGEREF _Toc9537876 \h </w:instrText>
        </w:r>
        <w:r w:rsidR="00CB4CF6">
          <w:rPr>
            <w:noProof/>
            <w:webHidden/>
          </w:rPr>
        </w:r>
        <w:r w:rsidR="00CB4CF6">
          <w:rPr>
            <w:noProof/>
            <w:webHidden/>
          </w:rPr>
          <w:fldChar w:fldCharType="separate"/>
        </w:r>
        <w:r w:rsidR="00CB4CF6">
          <w:rPr>
            <w:noProof/>
            <w:webHidden/>
          </w:rPr>
          <w:t>16</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7"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9.</w:t>
        </w:r>
        <w:r w:rsidR="00CB4CF6" w:rsidRPr="007207DB">
          <w:rPr>
            <w:rStyle w:val="Hipervnculo"/>
            <w:rFonts w:ascii="Times New Roman" w:hAnsi="Times New Roman" w:cs="Times New Roman"/>
            <w:noProof/>
          </w:rPr>
          <w:t xml:space="preserve"> Biodegradabilidad de sustratos (celulosa microcristalina (MC), α-celulosa (α-C), Xileno (XY), glucomano (GM) y arabinogalactano (AG), lignina (LI).</w:t>
        </w:r>
        <w:r w:rsidR="00CB4CF6">
          <w:rPr>
            <w:noProof/>
            <w:webHidden/>
          </w:rPr>
          <w:tab/>
        </w:r>
        <w:r w:rsidR="00CB4CF6">
          <w:rPr>
            <w:noProof/>
            <w:webHidden/>
          </w:rPr>
          <w:fldChar w:fldCharType="begin"/>
        </w:r>
        <w:r w:rsidR="00CB4CF6">
          <w:rPr>
            <w:noProof/>
            <w:webHidden/>
          </w:rPr>
          <w:instrText xml:space="preserve"> PAGEREF _Toc9537877 \h </w:instrText>
        </w:r>
        <w:r w:rsidR="00CB4CF6">
          <w:rPr>
            <w:noProof/>
            <w:webHidden/>
          </w:rPr>
        </w:r>
        <w:r w:rsidR="00CB4CF6">
          <w:rPr>
            <w:noProof/>
            <w:webHidden/>
          </w:rPr>
          <w:fldChar w:fldCharType="separate"/>
        </w:r>
        <w:r w:rsidR="00CB4CF6">
          <w:rPr>
            <w:noProof/>
            <w:webHidden/>
          </w:rPr>
          <w:t>17</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8"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10.</w:t>
        </w:r>
        <w:r w:rsidR="00CB4CF6" w:rsidRPr="007207DB">
          <w:rPr>
            <w:rStyle w:val="Hipervnculo"/>
            <w:rFonts w:ascii="Times New Roman" w:hAnsi="Times New Roman" w:cs="Times New Roman"/>
            <w:noProof/>
          </w:rPr>
          <w:t xml:space="preserve"> Efecto de la relación S/I en el rendimiento de metano a partir de la codigestión anaerobia de residuos de tomate, residuos industriales y tallos de maíz.</w:t>
        </w:r>
        <w:r w:rsidR="00CB4CF6">
          <w:rPr>
            <w:noProof/>
            <w:webHidden/>
          </w:rPr>
          <w:tab/>
        </w:r>
        <w:r w:rsidR="00CB4CF6">
          <w:rPr>
            <w:noProof/>
            <w:webHidden/>
          </w:rPr>
          <w:fldChar w:fldCharType="begin"/>
        </w:r>
        <w:r w:rsidR="00CB4CF6">
          <w:rPr>
            <w:noProof/>
            <w:webHidden/>
          </w:rPr>
          <w:instrText xml:space="preserve"> PAGEREF _Toc9537878 \h </w:instrText>
        </w:r>
        <w:r w:rsidR="00CB4CF6">
          <w:rPr>
            <w:noProof/>
            <w:webHidden/>
          </w:rPr>
        </w:r>
        <w:r w:rsidR="00CB4CF6">
          <w:rPr>
            <w:noProof/>
            <w:webHidden/>
          </w:rPr>
          <w:fldChar w:fldCharType="separate"/>
        </w:r>
        <w:r w:rsidR="00CB4CF6">
          <w:rPr>
            <w:noProof/>
            <w:webHidden/>
          </w:rPr>
          <w:t>19</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79"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11</w:t>
        </w:r>
        <w:r w:rsidR="00CB4CF6" w:rsidRPr="007207DB">
          <w:rPr>
            <w:rStyle w:val="Hipervnculo"/>
            <w:rFonts w:ascii="Times New Roman" w:hAnsi="Times New Roman" w:cs="Times New Roman"/>
            <w:noProof/>
          </w:rPr>
          <w:t>. Fases de crecimiento. Curva inferior: log de la densidad bacteriana. Curva superior: Variación de la razón de crecimiento. Las líneas verticales marcan los límites de las fases.</w:t>
        </w:r>
        <w:r w:rsidR="00CB4CF6">
          <w:rPr>
            <w:noProof/>
            <w:webHidden/>
          </w:rPr>
          <w:tab/>
        </w:r>
        <w:r w:rsidR="00CB4CF6">
          <w:rPr>
            <w:noProof/>
            <w:webHidden/>
          </w:rPr>
          <w:fldChar w:fldCharType="begin"/>
        </w:r>
        <w:r w:rsidR="00CB4CF6">
          <w:rPr>
            <w:noProof/>
            <w:webHidden/>
          </w:rPr>
          <w:instrText xml:space="preserve"> PAGEREF _Toc9537879 \h </w:instrText>
        </w:r>
        <w:r w:rsidR="00CB4CF6">
          <w:rPr>
            <w:noProof/>
            <w:webHidden/>
          </w:rPr>
        </w:r>
        <w:r w:rsidR="00CB4CF6">
          <w:rPr>
            <w:noProof/>
            <w:webHidden/>
          </w:rPr>
          <w:fldChar w:fldCharType="separate"/>
        </w:r>
        <w:r w:rsidR="00CB4CF6">
          <w:rPr>
            <w:noProof/>
            <w:webHidden/>
          </w:rPr>
          <w:t>21</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0"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12.</w:t>
        </w:r>
        <w:r w:rsidR="00CB4CF6" w:rsidRPr="007207DB">
          <w:rPr>
            <w:rStyle w:val="Hipervnculo"/>
            <w:rFonts w:ascii="Times New Roman" w:hAnsi="Times New Roman" w:cs="Times New Roman"/>
            <w:noProof/>
          </w:rPr>
          <w:t xml:space="preserve"> Equipos empleados en la investigación.</w:t>
        </w:r>
        <w:r w:rsidR="00CB4CF6">
          <w:rPr>
            <w:noProof/>
            <w:webHidden/>
          </w:rPr>
          <w:tab/>
        </w:r>
        <w:r w:rsidR="00CB4CF6">
          <w:rPr>
            <w:noProof/>
            <w:webHidden/>
          </w:rPr>
          <w:fldChar w:fldCharType="begin"/>
        </w:r>
        <w:r w:rsidR="00CB4CF6">
          <w:rPr>
            <w:noProof/>
            <w:webHidden/>
          </w:rPr>
          <w:instrText xml:space="preserve"> PAGEREF _Toc9537880 \h </w:instrText>
        </w:r>
        <w:r w:rsidR="00CB4CF6">
          <w:rPr>
            <w:noProof/>
            <w:webHidden/>
          </w:rPr>
        </w:r>
        <w:r w:rsidR="00CB4CF6">
          <w:rPr>
            <w:noProof/>
            <w:webHidden/>
          </w:rPr>
          <w:fldChar w:fldCharType="separate"/>
        </w:r>
        <w:r w:rsidR="00CB4CF6">
          <w:rPr>
            <w:noProof/>
            <w:webHidden/>
          </w:rPr>
          <w:t>27</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1"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13.</w:t>
        </w:r>
        <w:r w:rsidR="00CB4CF6" w:rsidRPr="007207DB">
          <w:rPr>
            <w:rStyle w:val="Hipervnculo"/>
            <w:rFonts w:ascii="Times New Roman" w:hAnsi="Times New Roman" w:cs="Times New Roman"/>
            <w:noProof/>
          </w:rPr>
          <w:t xml:space="preserve"> Procedencia del ganado vacuno a ser faenado.</w:t>
        </w:r>
        <w:r w:rsidR="00CB4CF6">
          <w:rPr>
            <w:noProof/>
            <w:webHidden/>
          </w:rPr>
          <w:tab/>
        </w:r>
        <w:r w:rsidR="00CB4CF6">
          <w:rPr>
            <w:noProof/>
            <w:webHidden/>
          </w:rPr>
          <w:fldChar w:fldCharType="begin"/>
        </w:r>
        <w:r w:rsidR="00CB4CF6">
          <w:rPr>
            <w:noProof/>
            <w:webHidden/>
          </w:rPr>
          <w:instrText xml:space="preserve"> PAGEREF _Toc9537881 \h </w:instrText>
        </w:r>
        <w:r w:rsidR="00CB4CF6">
          <w:rPr>
            <w:noProof/>
            <w:webHidden/>
          </w:rPr>
        </w:r>
        <w:r w:rsidR="00CB4CF6">
          <w:rPr>
            <w:noProof/>
            <w:webHidden/>
          </w:rPr>
          <w:fldChar w:fldCharType="separate"/>
        </w:r>
        <w:r w:rsidR="00CB4CF6">
          <w:rPr>
            <w:noProof/>
            <w:webHidden/>
          </w:rPr>
          <w:t>29</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2"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14</w:t>
        </w:r>
        <w:r w:rsidR="00CB4CF6" w:rsidRPr="007207DB">
          <w:rPr>
            <w:rStyle w:val="Hipervnculo"/>
            <w:rFonts w:ascii="Times New Roman" w:hAnsi="Times New Roman" w:cs="Times New Roman"/>
            <w:noProof/>
          </w:rPr>
          <w:t>. Configuración del digestor empleado para las Pruebas Bioquímicas de Metano (PBM). 1: Digestor, 2: Válvula de tres pasos.</w:t>
        </w:r>
        <w:r w:rsidR="00CB4CF6">
          <w:rPr>
            <w:noProof/>
            <w:webHidden/>
          </w:rPr>
          <w:tab/>
        </w:r>
        <w:r w:rsidR="00CB4CF6">
          <w:rPr>
            <w:noProof/>
            <w:webHidden/>
          </w:rPr>
          <w:fldChar w:fldCharType="begin"/>
        </w:r>
        <w:r w:rsidR="00CB4CF6">
          <w:rPr>
            <w:noProof/>
            <w:webHidden/>
          </w:rPr>
          <w:instrText xml:space="preserve"> PAGEREF _Toc9537882 \h </w:instrText>
        </w:r>
        <w:r w:rsidR="00CB4CF6">
          <w:rPr>
            <w:noProof/>
            <w:webHidden/>
          </w:rPr>
        </w:r>
        <w:r w:rsidR="00CB4CF6">
          <w:rPr>
            <w:noProof/>
            <w:webHidden/>
          </w:rPr>
          <w:fldChar w:fldCharType="separate"/>
        </w:r>
        <w:r w:rsidR="00CB4CF6">
          <w:rPr>
            <w:noProof/>
            <w:webHidden/>
          </w:rPr>
          <w:t>31</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3"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15. </w:t>
        </w:r>
        <w:r w:rsidR="00CB4CF6" w:rsidRPr="007207DB">
          <w:rPr>
            <w:rStyle w:val="Hipervnculo"/>
            <w:rFonts w:ascii="Times New Roman" w:hAnsi="Times New Roman" w:cs="Times New Roman"/>
            <w:noProof/>
          </w:rPr>
          <w:t>Lectura de presión en el volumen libre del digestor anaerobio. 1: Digestor anaerobio, 2: Válvula de tres pasos, 3: sonda de presión de 1Bar, 4: Transductor de presión.</w:t>
        </w:r>
        <w:r w:rsidR="00CB4CF6">
          <w:rPr>
            <w:noProof/>
            <w:webHidden/>
          </w:rPr>
          <w:tab/>
        </w:r>
        <w:r w:rsidR="00CB4CF6">
          <w:rPr>
            <w:noProof/>
            <w:webHidden/>
          </w:rPr>
          <w:fldChar w:fldCharType="begin"/>
        </w:r>
        <w:r w:rsidR="00CB4CF6">
          <w:rPr>
            <w:noProof/>
            <w:webHidden/>
          </w:rPr>
          <w:instrText xml:space="preserve"> PAGEREF _Toc9537883 \h </w:instrText>
        </w:r>
        <w:r w:rsidR="00CB4CF6">
          <w:rPr>
            <w:noProof/>
            <w:webHidden/>
          </w:rPr>
        </w:r>
        <w:r w:rsidR="00CB4CF6">
          <w:rPr>
            <w:noProof/>
            <w:webHidden/>
          </w:rPr>
          <w:fldChar w:fldCharType="separate"/>
        </w:r>
        <w:r w:rsidR="00CB4CF6">
          <w:rPr>
            <w:noProof/>
            <w:webHidden/>
          </w:rPr>
          <w:t>36</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4"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16.</w:t>
        </w:r>
        <w:r w:rsidR="00CB4CF6" w:rsidRPr="007207DB">
          <w:rPr>
            <w:rStyle w:val="Hipervnculo"/>
            <w:rFonts w:ascii="Times New Roman" w:hAnsi="Times New Roman" w:cs="Times New Roman"/>
            <w:noProof/>
          </w:rPr>
          <w:t xml:space="preserve"> Liberación diaria de biogás</w:t>
        </w:r>
        <w:r w:rsidR="00CB4CF6">
          <w:rPr>
            <w:noProof/>
            <w:webHidden/>
          </w:rPr>
          <w:tab/>
        </w:r>
        <w:r w:rsidR="00CB4CF6">
          <w:rPr>
            <w:noProof/>
            <w:webHidden/>
          </w:rPr>
          <w:fldChar w:fldCharType="begin"/>
        </w:r>
        <w:r w:rsidR="00CB4CF6">
          <w:rPr>
            <w:noProof/>
            <w:webHidden/>
          </w:rPr>
          <w:instrText xml:space="preserve"> PAGEREF _Toc9537884 \h </w:instrText>
        </w:r>
        <w:r w:rsidR="00CB4CF6">
          <w:rPr>
            <w:noProof/>
            <w:webHidden/>
          </w:rPr>
        </w:r>
        <w:r w:rsidR="00CB4CF6">
          <w:rPr>
            <w:noProof/>
            <w:webHidden/>
          </w:rPr>
          <w:fldChar w:fldCharType="separate"/>
        </w:r>
        <w:r w:rsidR="00CB4CF6">
          <w:rPr>
            <w:noProof/>
            <w:webHidden/>
          </w:rPr>
          <w:t>37</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5"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17.</w:t>
        </w:r>
        <w:r w:rsidR="00CB4CF6" w:rsidRPr="007207DB">
          <w:rPr>
            <w:rStyle w:val="Hipervnculo"/>
            <w:rFonts w:ascii="Times New Roman" w:hAnsi="Times New Roman" w:cs="Times New Roman"/>
            <w:noProof/>
          </w:rPr>
          <w:t xml:space="preserve"> Lectura de la composición de biogás diaria.</w:t>
        </w:r>
        <w:r w:rsidR="00CB4CF6">
          <w:rPr>
            <w:noProof/>
            <w:webHidden/>
          </w:rPr>
          <w:tab/>
        </w:r>
        <w:r w:rsidR="00CB4CF6">
          <w:rPr>
            <w:noProof/>
            <w:webHidden/>
          </w:rPr>
          <w:fldChar w:fldCharType="begin"/>
        </w:r>
        <w:r w:rsidR="00CB4CF6">
          <w:rPr>
            <w:noProof/>
            <w:webHidden/>
          </w:rPr>
          <w:instrText xml:space="preserve"> PAGEREF _Toc9537885 \h </w:instrText>
        </w:r>
        <w:r w:rsidR="00CB4CF6">
          <w:rPr>
            <w:noProof/>
            <w:webHidden/>
          </w:rPr>
        </w:r>
        <w:r w:rsidR="00CB4CF6">
          <w:rPr>
            <w:noProof/>
            <w:webHidden/>
          </w:rPr>
          <w:fldChar w:fldCharType="separate"/>
        </w:r>
        <w:r w:rsidR="00CB4CF6">
          <w:rPr>
            <w:noProof/>
            <w:webHidden/>
          </w:rPr>
          <w:t>38</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6"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18</w:t>
        </w:r>
        <w:r w:rsidR="00CB4CF6" w:rsidRPr="007207DB">
          <w:rPr>
            <w:rStyle w:val="Hipervnculo"/>
            <w:rFonts w:ascii="Times New Roman" w:hAnsi="Times New Roman" w:cs="Times New Roman"/>
            <w:noProof/>
          </w:rPr>
          <w:t>. Producción diaria de biogás a razones diferentes de I:S y RE:TR.</w:t>
        </w:r>
        <w:r w:rsidR="00CB4CF6">
          <w:rPr>
            <w:noProof/>
            <w:webHidden/>
          </w:rPr>
          <w:tab/>
        </w:r>
        <w:r w:rsidR="00CB4CF6">
          <w:rPr>
            <w:noProof/>
            <w:webHidden/>
          </w:rPr>
          <w:fldChar w:fldCharType="begin"/>
        </w:r>
        <w:r w:rsidR="00CB4CF6">
          <w:rPr>
            <w:noProof/>
            <w:webHidden/>
          </w:rPr>
          <w:instrText xml:space="preserve"> PAGEREF _Toc9537886 \h </w:instrText>
        </w:r>
        <w:r w:rsidR="00CB4CF6">
          <w:rPr>
            <w:noProof/>
            <w:webHidden/>
          </w:rPr>
        </w:r>
        <w:r w:rsidR="00CB4CF6">
          <w:rPr>
            <w:noProof/>
            <w:webHidden/>
          </w:rPr>
          <w:fldChar w:fldCharType="separate"/>
        </w:r>
        <w:r w:rsidR="00CB4CF6">
          <w:rPr>
            <w:noProof/>
            <w:webHidden/>
          </w:rPr>
          <w:t>43</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7"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19.</w:t>
        </w:r>
        <w:r w:rsidR="00CB4CF6" w:rsidRPr="007207DB">
          <w:rPr>
            <w:rStyle w:val="Hipervnculo"/>
            <w:rFonts w:ascii="Times New Roman" w:hAnsi="Times New Roman" w:cs="Times New Roman"/>
            <w:noProof/>
          </w:rPr>
          <w:t xml:space="preserve"> Producción de biogás para varias razones de I:S y RE:TR.</w:t>
        </w:r>
        <w:r w:rsidR="00CB4CF6">
          <w:rPr>
            <w:noProof/>
            <w:webHidden/>
          </w:rPr>
          <w:tab/>
        </w:r>
        <w:r w:rsidR="00CB4CF6">
          <w:rPr>
            <w:noProof/>
            <w:webHidden/>
          </w:rPr>
          <w:fldChar w:fldCharType="begin"/>
        </w:r>
        <w:r w:rsidR="00CB4CF6">
          <w:rPr>
            <w:noProof/>
            <w:webHidden/>
          </w:rPr>
          <w:instrText xml:space="preserve"> PAGEREF _Toc9537887 \h </w:instrText>
        </w:r>
        <w:r w:rsidR="00CB4CF6">
          <w:rPr>
            <w:noProof/>
            <w:webHidden/>
          </w:rPr>
        </w:r>
        <w:r w:rsidR="00CB4CF6">
          <w:rPr>
            <w:noProof/>
            <w:webHidden/>
          </w:rPr>
          <w:fldChar w:fldCharType="separate"/>
        </w:r>
        <w:r w:rsidR="00CB4CF6">
          <w:rPr>
            <w:noProof/>
            <w:webHidden/>
          </w:rPr>
          <w:t>44</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8"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20.</w:t>
        </w:r>
        <w:r w:rsidR="00CB4CF6" w:rsidRPr="007207DB">
          <w:rPr>
            <w:rStyle w:val="Hipervnculo"/>
            <w:rFonts w:ascii="Times New Roman" w:hAnsi="Times New Roman" w:cs="Times New Roman"/>
            <w:noProof/>
          </w:rPr>
          <w:t xml:space="preserve"> Biogás acumulado para razones diferentes de I:S y RE:TR.</w:t>
        </w:r>
        <w:r w:rsidR="00CB4CF6">
          <w:rPr>
            <w:noProof/>
            <w:webHidden/>
          </w:rPr>
          <w:tab/>
        </w:r>
        <w:r w:rsidR="00CB4CF6">
          <w:rPr>
            <w:noProof/>
            <w:webHidden/>
          </w:rPr>
          <w:fldChar w:fldCharType="begin"/>
        </w:r>
        <w:r w:rsidR="00CB4CF6">
          <w:rPr>
            <w:noProof/>
            <w:webHidden/>
          </w:rPr>
          <w:instrText xml:space="preserve"> PAGEREF _Toc9537888 \h </w:instrText>
        </w:r>
        <w:r w:rsidR="00CB4CF6">
          <w:rPr>
            <w:noProof/>
            <w:webHidden/>
          </w:rPr>
        </w:r>
        <w:r w:rsidR="00CB4CF6">
          <w:rPr>
            <w:noProof/>
            <w:webHidden/>
          </w:rPr>
          <w:fldChar w:fldCharType="separate"/>
        </w:r>
        <w:r w:rsidR="00CB4CF6">
          <w:rPr>
            <w:noProof/>
            <w:webHidden/>
          </w:rPr>
          <w:t>45</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89"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21</w:t>
        </w:r>
        <w:r w:rsidR="00CB4CF6" w:rsidRPr="007207DB">
          <w:rPr>
            <w:rStyle w:val="Hipervnculo"/>
            <w:rFonts w:ascii="Times New Roman" w:hAnsi="Times New Roman" w:cs="Times New Roman"/>
            <w:noProof/>
          </w:rPr>
          <w:t>. Rendimiento de metano diario (RMD) en monodigestión y codigestión para razones diferentes de I:S y RE:TR.</w:t>
        </w:r>
        <w:r w:rsidR="00CB4CF6">
          <w:rPr>
            <w:noProof/>
            <w:webHidden/>
          </w:rPr>
          <w:tab/>
        </w:r>
        <w:r w:rsidR="00CB4CF6">
          <w:rPr>
            <w:noProof/>
            <w:webHidden/>
          </w:rPr>
          <w:fldChar w:fldCharType="begin"/>
        </w:r>
        <w:r w:rsidR="00CB4CF6">
          <w:rPr>
            <w:noProof/>
            <w:webHidden/>
          </w:rPr>
          <w:instrText xml:space="preserve"> PAGEREF _Toc9537889 \h </w:instrText>
        </w:r>
        <w:r w:rsidR="00CB4CF6">
          <w:rPr>
            <w:noProof/>
            <w:webHidden/>
          </w:rPr>
        </w:r>
        <w:r w:rsidR="00CB4CF6">
          <w:rPr>
            <w:noProof/>
            <w:webHidden/>
          </w:rPr>
          <w:fldChar w:fldCharType="separate"/>
        </w:r>
        <w:r w:rsidR="00CB4CF6">
          <w:rPr>
            <w:noProof/>
            <w:webHidden/>
          </w:rPr>
          <w:t>46</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0"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22</w:t>
        </w:r>
        <w:r w:rsidR="00CB4CF6" w:rsidRPr="007207DB">
          <w:rPr>
            <w:rStyle w:val="Hipervnculo"/>
            <w:rFonts w:ascii="Times New Roman" w:hAnsi="Times New Roman" w:cs="Times New Roman"/>
            <w:noProof/>
          </w:rPr>
          <w:t>.  Rendimiento de metano acumulado (RMA) en monodigestión y codigestión para razones diferentes de I:S y RE:TR.</w:t>
        </w:r>
        <w:r w:rsidR="00CB4CF6">
          <w:rPr>
            <w:noProof/>
            <w:webHidden/>
          </w:rPr>
          <w:tab/>
        </w:r>
        <w:r w:rsidR="00CB4CF6">
          <w:rPr>
            <w:noProof/>
            <w:webHidden/>
          </w:rPr>
          <w:fldChar w:fldCharType="begin"/>
        </w:r>
        <w:r w:rsidR="00CB4CF6">
          <w:rPr>
            <w:noProof/>
            <w:webHidden/>
          </w:rPr>
          <w:instrText xml:space="preserve"> PAGEREF _Toc9537890 \h </w:instrText>
        </w:r>
        <w:r w:rsidR="00CB4CF6">
          <w:rPr>
            <w:noProof/>
            <w:webHidden/>
          </w:rPr>
        </w:r>
        <w:r w:rsidR="00CB4CF6">
          <w:rPr>
            <w:noProof/>
            <w:webHidden/>
          </w:rPr>
          <w:fldChar w:fldCharType="separate"/>
        </w:r>
        <w:r w:rsidR="00CB4CF6">
          <w:rPr>
            <w:noProof/>
            <w:webHidden/>
          </w:rPr>
          <w:t>47</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1"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23</w:t>
        </w:r>
        <w:r w:rsidR="00CB4CF6" w:rsidRPr="007207DB">
          <w:rPr>
            <w:rStyle w:val="Hipervnculo"/>
            <w:rFonts w:ascii="Times New Roman" w:hAnsi="Times New Roman" w:cs="Times New Roman"/>
            <w:noProof/>
          </w:rPr>
          <w:t>. Ajuste del modelo de Transferencia para una razón I:S - 2:1.</w:t>
        </w:r>
        <w:r w:rsidR="00CB4CF6">
          <w:rPr>
            <w:noProof/>
            <w:webHidden/>
          </w:rPr>
          <w:tab/>
        </w:r>
        <w:r w:rsidR="00CB4CF6">
          <w:rPr>
            <w:noProof/>
            <w:webHidden/>
          </w:rPr>
          <w:fldChar w:fldCharType="begin"/>
        </w:r>
        <w:r w:rsidR="00CB4CF6">
          <w:rPr>
            <w:noProof/>
            <w:webHidden/>
          </w:rPr>
          <w:instrText xml:space="preserve"> PAGEREF _Toc9537891 \h </w:instrText>
        </w:r>
        <w:r w:rsidR="00CB4CF6">
          <w:rPr>
            <w:noProof/>
            <w:webHidden/>
          </w:rPr>
        </w:r>
        <w:r w:rsidR="00CB4CF6">
          <w:rPr>
            <w:noProof/>
            <w:webHidden/>
          </w:rPr>
          <w:fldChar w:fldCharType="separate"/>
        </w:r>
        <w:r w:rsidR="00CB4CF6">
          <w:rPr>
            <w:noProof/>
            <w:webHidden/>
          </w:rPr>
          <w:t>52</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2"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24.</w:t>
        </w:r>
        <w:r w:rsidR="00CB4CF6" w:rsidRPr="007207DB">
          <w:rPr>
            <w:rStyle w:val="Hipervnculo"/>
            <w:rFonts w:ascii="Times New Roman" w:hAnsi="Times New Roman" w:cs="Times New Roman"/>
            <w:noProof/>
          </w:rPr>
          <w:t xml:space="preserve"> Ajuste del modelo de Trasferencia para una razón I:S - 1:1</w:t>
        </w:r>
        <w:r w:rsidR="00CB4CF6">
          <w:rPr>
            <w:noProof/>
            <w:webHidden/>
          </w:rPr>
          <w:tab/>
        </w:r>
        <w:r w:rsidR="00CB4CF6">
          <w:rPr>
            <w:noProof/>
            <w:webHidden/>
          </w:rPr>
          <w:fldChar w:fldCharType="begin"/>
        </w:r>
        <w:r w:rsidR="00CB4CF6">
          <w:rPr>
            <w:noProof/>
            <w:webHidden/>
          </w:rPr>
          <w:instrText xml:space="preserve"> PAGEREF _Toc9537892 \h </w:instrText>
        </w:r>
        <w:r w:rsidR="00CB4CF6">
          <w:rPr>
            <w:noProof/>
            <w:webHidden/>
          </w:rPr>
        </w:r>
        <w:r w:rsidR="00CB4CF6">
          <w:rPr>
            <w:noProof/>
            <w:webHidden/>
          </w:rPr>
          <w:fldChar w:fldCharType="separate"/>
        </w:r>
        <w:r w:rsidR="00CB4CF6">
          <w:rPr>
            <w:noProof/>
            <w:webHidden/>
          </w:rPr>
          <w:t>52</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3"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25.</w:t>
        </w:r>
        <w:r w:rsidR="00CB4CF6" w:rsidRPr="007207DB">
          <w:rPr>
            <w:rStyle w:val="Hipervnculo"/>
            <w:rFonts w:ascii="Times New Roman" w:hAnsi="Times New Roman" w:cs="Times New Roman"/>
            <w:noProof/>
          </w:rPr>
          <w:t xml:space="preserve"> Ajuste del Modelo Modificado de Gompertz para una razon I:S - 1:2.</w:t>
        </w:r>
        <w:r w:rsidR="00CB4CF6">
          <w:rPr>
            <w:noProof/>
            <w:webHidden/>
          </w:rPr>
          <w:tab/>
        </w:r>
        <w:r w:rsidR="00CB4CF6">
          <w:rPr>
            <w:noProof/>
            <w:webHidden/>
          </w:rPr>
          <w:fldChar w:fldCharType="begin"/>
        </w:r>
        <w:r w:rsidR="00CB4CF6">
          <w:rPr>
            <w:noProof/>
            <w:webHidden/>
          </w:rPr>
          <w:instrText xml:space="preserve"> PAGEREF _Toc9537893 \h </w:instrText>
        </w:r>
        <w:r w:rsidR="00CB4CF6">
          <w:rPr>
            <w:noProof/>
            <w:webHidden/>
          </w:rPr>
        </w:r>
        <w:r w:rsidR="00CB4CF6">
          <w:rPr>
            <w:noProof/>
            <w:webHidden/>
          </w:rPr>
          <w:fldChar w:fldCharType="separate"/>
        </w:r>
        <w:r w:rsidR="00CB4CF6">
          <w:rPr>
            <w:noProof/>
            <w:webHidden/>
          </w:rPr>
          <w:t>53</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4"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26. </w:t>
        </w:r>
        <w:r w:rsidR="00CB4CF6" w:rsidRPr="007207DB">
          <w:rPr>
            <w:rStyle w:val="Hipervnculo"/>
            <w:rFonts w:ascii="Times New Roman" w:hAnsi="Times New Roman" w:cs="Times New Roman"/>
            <w:noProof/>
          </w:rPr>
          <w:t>Aumento del % de metano en los tratamientos RE:TR</w:t>
        </w:r>
        <w:r w:rsidR="00CB4CF6">
          <w:rPr>
            <w:noProof/>
            <w:webHidden/>
          </w:rPr>
          <w:tab/>
        </w:r>
        <w:r w:rsidR="00CB4CF6">
          <w:rPr>
            <w:noProof/>
            <w:webHidden/>
          </w:rPr>
          <w:fldChar w:fldCharType="begin"/>
        </w:r>
        <w:r w:rsidR="00CB4CF6">
          <w:rPr>
            <w:noProof/>
            <w:webHidden/>
          </w:rPr>
          <w:instrText xml:space="preserve"> PAGEREF _Toc9537894 \h </w:instrText>
        </w:r>
        <w:r w:rsidR="00CB4CF6">
          <w:rPr>
            <w:noProof/>
            <w:webHidden/>
          </w:rPr>
        </w:r>
        <w:r w:rsidR="00CB4CF6">
          <w:rPr>
            <w:noProof/>
            <w:webHidden/>
          </w:rPr>
          <w:fldChar w:fldCharType="separate"/>
        </w:r>
        <w:r w:rsidR="00CB4CF6">
          <w:rPr>
            <w:noProof/>
            <w:webHidden/>
          </w:rPr>
          <w:t>62</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5"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27.</w:t>
        </w:r>
        <w:r w:rsidR="00CB4CF6" w:rsidRPr="007207DB">
          <w:rPr>
            <w:rStyle w:val="Hipervnculo"/>
            <w:rFonts w:ascii="Times New Roman" w:hAnsi="Times New Roman" w:cs="Times New Roman"/>
            <w:noProof/>
          </w:rPr>
          <w:t xml:space="preserve"> Ajuste del modelo modificado de Gompertz para una razón I:S - 2:1.</w:t>
        </w:r>
        <w:r w:rsidR="00CB4CF6">
          <w:rPr>
            <w:noProof/>
            <w:webHidden/>
          </w:rPr>
          <w:tab/>
        </w:r>
        <w:r w:rsidR="00CB4CF6">
          <w:rPr>
            <w:noProof/>
            <w:webHidden/>
          </w:rPr>
          <w:fldChar w:fldCharType="begin"/>
        </w:r>
        <w:r w:rsidR="00CB4CF6">
          <w:rPr>
            <w:noProof/>
            <w:webHidden/>
          </w:rPr>
          <w:instrText xml:space="preserve"> PAGEREF _Toc9537895 \h </w:instrText>
        </w:r>
        <w:r w:rsidR="00CB4CF6">
          <w:rPr>
            <w:noProof/>
            <w:webHidden/>
          </w:rPr>
        </w:r>
        <w:r w:rsidR="00CB4CF6">
          <w:rPr>
            <w:noProof/>
            <w:webHidden/>
          </w:rPr>
          <w:fldChar w:fldCharType="separate"/>
        </w:r>
        <w:r w:rsidR="00CB4CF6">
          <w:rPr>
            <w:noProof/>
            <w:webHidden/>
          </w:rPr>
          <w:t>83</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6"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28.</w:t>
        </w:r>
        <w:r w:rsidR="00CB4CF6" w:rsidRPr="007207DB">
          <w:rPr>
            <w:rStyle w:val="Hipervnculo"/>
            <w:rFonts w:ascii="Times New Roman" w:hAnsi="Times New Roman" w:cs="Times New Roman"/>
            <w:noProof/>
          </w:rPr>
          <w:t xml:space="preserve"> Ajuste del modelo modificado de Gompertz para una razón I:S - 1:1.</w:t>
        </w:r>
        <w:r w:rsidR="00CB4CF6">
          <w:rPr>
            <w:noProof/>
            <w:webHidden/>
          </w:rPr>
          <w:tab/>
        </w:r>
        <w:r w:rsidR="00CB4CF6">
          <w:rPr>
            <w:noProof/>
            <w:webHidden/>
          </w:rPr>
          <w:fldChar w:fldCharType="begin"/>
        </w:r>
        <w:r w:rsidR="00CB4CF6">
          <w:rPr>
            <w:noProof/>
            <w:webHidden/>
          </w:rPr>
          <w:instrText xml:space="preserve"> PAGEREF _Toc9537896 \h </w:instrText>
        </w:r>
        <w:r w:rsidR="00CB4CF6">
          <w:rPr>
            <w:noProof/>
            <w:webHidden/>
          </w:rPr>
        </w:r>
        <w:r w:rsidR="00CB4CF6">
          <w:rPr>
            <w:noProof/>
            <w:webHidden/>
          </w:rPr>
          <w:fldChar w:fldCharType="separate"/>
        </w:r>
        <w:r w:rsidR="00CB4CF6">
          <w:rPr>
            <w:noProof/>
            <w:webHidden/>
          </w:rPr>
          <w:t>83</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7"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29.</w:t>
        </w:r>
        <w:r w:rsidR="00CB4CF6" w:rsidRPr="007207DB">
          <w:rPr>
            <w:rStyle w:val="Hipervnculo"/>
            <w:rFonts w:ascii="Times New Roman" w:hAnsi="Times New Roman" w:cs="Times New Roman"/>
            <w:noProof/>
          </w:rPr>
          <w:t xml:space="preserve"> Ajuste del modelo de Transferencia para una razón I:S - 1:2.</w:t>
        </w:r>
        <w:r w:rsidR="00CB4CF6">
          <w:rPr>
            <w:noProof/>
            <w:webHidden/>
          </w:rPr>
          <w:tab/>
        </w:r>
        <w:r w:rsidR="00CB4CF6">
          <w:rPr>
            <w:noProof/>
            <w:webHidden/>
          </w:rPr>
          <w:fldChar w:fldCharType="begin"/>
        </w:r>
        <w:r w:rsidR="00CB4CF6">
          <w:rPr>
            <w:noProof/>
            <w:webHidden/>
          </w:rPr>
          <w:instrText xml:space="preserve"> PAGEREF _Toc9537897 \h </w:instrText>
        </w:r>
        <w:r w:rsidR="00CB4CF6">
          <w:rPr>
            <w:noProof/>
            <w:webHidden/>
          </w:rPr>
        </w:r>
        <w:r w:rsidR="00CB4CF6">
          <w:rPr>
            <w:noProof/>
            <w:webHidden/>
          </w:rPr>
          <w:fldChar w:fldCharType="separate"/>
        </w:r>
        <w:r w:rsidR="00CB4CF6">
          <w:rPr>
            <w:noProof/>
            <w:webHidden/>
          </w:rPr>
          <w:t>84</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8"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30</w:t>
        </w:r>
        <w:r w:rsidR="00CB4CF6" w:rsidRPr="007207DB">
          <w:rPr>
            <w:rStyle w:val="Hipervnculo"/>
            <w:rFonts w:ascii="Times New Roman" w:hAnsi="Times New Roman" w:cs="Times New Roman"/>
            <w:noProof/>
          </w:rPr>
          <w:t>. Ajuste del modelo de Primer Orden para una razón I:S - 2:1.</w:t>
        </w:r>
        <w:r w:rsidR="00CB4CF6">
          <w:rPr>
            <w:noProof/>
            <w:webHidden/>
          </w:rPr>
          <w:tab/>
        </w:r>
        <w:r w:rsidR="00CB4CF6">
          <w:rPr>
            <w:noProof/>
            <w:webHidden/>
          </w:rPr>
          <w:fldChar w:fldCharType="begin"/>
        </w:r>
        <w:r w:rsidR="00CB4CF6">
          <w:rPr>
            <w:noProof/>
            <w:webHidden/>
          </w:rPr>
          <w:instrText xml:space="preserve"> PAGEREF _Toc9537898 \h </w:instrText>
        </w:r>
        <w:r w:rsidR="00CB4CF6">
          <w:rPr>
            <w:noProof/>
            <w:webHidden/>
          </w:rPr>
        </w:r>
        <w:r w:rsidR="00CB4CF6">
          <w:rPr>
            <w:noProof/>
            <w:webHidden/>
          </w:rPr>
          <w:fldChar w:fldCharType="separate"/>
        </w:r>
        <w:r w:rsidR="00CB4CF6">
          <w:rPr>
            <w:noProof/>
            <w:webHidden/>
          </w:rPr>
          <w:t>84</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899"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31.</w:t>
        </w:r>
        <w:r w:rsidR="00CB4CF6" w:rsidRPr="007207DB">
          <w:rPr>
            <w:rStyle w:val="Hipervnculo"/>
            <w:rFonts w:ascii="Times New Roman" w:hAnsi="Times New Roman" w:cs="Times New Roman"/>
            <w:noProof/>
          </w:rPr>
          <w:t xml:space="preserve"> Ajuste del modelo de Primer Orden para una razón I:S - 1:1</w:t>
        </w:r>
        <w:r w:rsidR="00CB4CF6">
          <w:rPr>
            <w:noProof/>
            <w:webHidden/>
          </w:rPr>
          <w:tab/>
        </w:r>
        <w:r w:rsidR="00CB4CF6">
          <w:rPr>
            <w:noProof/>
            <w:webHidden/>
          </w:rPr>
          <w:fldChar w:fldCharType="begin"/>
        </w:r>
        <w:r w:rsidR="00CB4CF6">
          <w:rPr>
            <w:noProof/>
            <w:webHidden/>
          </w:rPr>
          <w:instrText xml:space="preserve"> PAGEREF _Toc9537899 \h </w:instrText>
        </w:r>
        <w:r w:rsidR="00CB4CF6">
          <w:rPr>
            <w:noProof/>
            <w:webHidden/>
          </w:rPr>
        </w:r>
        <w:r w:rsidR="00CB4CF6">
          <w:rPr>
            <w:noProof/>
            <w:webHidden/>
          </w:rPr>
          <w:fldChar w:fldCharType="separate"/>
        </w:r>
        <w:r w:rsidR="00CB4CF6">
          <w:rPr>
            <w:noProof/>
            <w:webHidden/>
          </w:rPr>
          <w:t>85</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0"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32.</w:t>
        </w:r>
        <w:r w:rsidR="00CB4CF6" w:rsidRPr="007207DB">
          <w:rPr>
            <w:rStyle w:val="Hipervnculo"/>
            <w:rFonts w:ascii="Times New Roman" w:hAnsi="Times New Roman" w:cs="Times New Roman"/>
            <w:noProof/>
          </w:rPr>
          <w:t xml:space="preserve"> Ajuste del modelo de Primer Orden para una razón I:S - 1:2</w:t>
        </w:r>
        <w:r w:rsidR="00CB4CF6">
          <w:rPr>
            <w:noProof/>
            <w:webHidden/>
          </w:rPr>
          <w:tab/>
        </w:r>
        <w:r w:rsidR="00CB4CF6">
          <w:rPr>
            <w:noProof/>
            <w:webHidden/>
          </w:rPr>
          <w:fldChar w:fldCharType="begin"/>
        </w:r>
        <w:r w:rsidR="00CB4CF6">
          <w:rPr>
            <w:noProof/>
            <w:webHidden/>
          </w:rPr>
          <w:instrText xml:space="preserve"> PAGEREF _Toc9537900 \h </w:instrText>
        </w:r>
        <w:r w:rsidR="00CB4CF6">
          <w:rPr>
            <w:noProof/>
            <w:webHidden/>
          </w:rPr>
        </w:r>
        <w:r w:rsidR="00CB4CF6">
          <w:rPr>
            <w:noProof/>
            <w:webHidden/>
          </w:rPr>
          <w:fldChar w:fldCharType="separate"/>
        </w:r>
        <w:r w:rsidR="00CB4CF6">
          <w:rPr>
            <w:noProof/>
            <w:webHidden/>
          </w:rPr>
          <w:t>85</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1"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33.</w:t>
        </w:r>
        <w:r w:rsidR="00CB4CF6" w:rsidRPr="007207DB">
          <w:rPr>
            <w:rStyle w:val="Hipervnculo"/>
            <w:rFonts w:ascii="Times New Roman" w:hAnsi="Times New Roman" w:cs="Times New Roman"/>
            <w:noProof/>
          </w:rPr>
          <w:t xml:space="preserve"> Ajuste del modelo del Cono para una razón I:S -2:1</w:t>
        </w:r>
        <w:r w:rsidR="00CB4CF6">
          <w:rPr>
            <w:noProof/>
            <w:webHidden/>
          </w:rPr>
          <w:tab/>
        </w:r>
        <w:r w:rsidR="00CB4CF6">
          <w:rPr>
            <w:noProof/>
            <w:webHidden/>
          </w:rPr>
          <w:fldChar w:fldCharType="begin"/>
        </w:r>
        <w:r w:rsidR="00CB4CF6">
          <w:rPr>
            <w:noProof/>
            <w:webHidden/>
          </w:rPr>
          <w:instrText xml:space="preserve"> PAGEREF _Toc9537901 \h </w:instrText>
        </w:r>
        <w:r w:rsidR="00CB4CF6">
          <w:rPr>
            <w:noProof/>
            <w:webHidden/>
          </w:rPr>
        </w:r>
        <w:r w:rsidR="00CB4CF6">
          <w:rPr>
            <w:noProof/>
            <w:webHidden/>
          </w:rPr>
          <w:fldChar w:fldCharType="separate"/>
        </w:r>
        <w:r w:rsidR="00CB4CF6">
          <w:rPr>
            <w:noProof/>
            <w:webHidden/>
          </w:rPr>
          <w:t>86</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2"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34.</w:t>
        </w:r>
        <w:r w:rsidR="00CB4CF6" w:rsidRPr="007207DB">
          <w:rPr>
            <w:rStyle w:val="Hipervnculo"/>
            <w:rFonts w:ascii="Times New Roman" w:hAnsi="Times New Roman" w:cs="Times New Roman"/>
            <w:noProof/>
          </w:rPr>
          <w:t xml:space="preserve"> Ajuste del modelo del Cono para una razón I:S -1:1</w:t>
        </w:r>
        <w:r w:rsidR="00CB4CF6">
          <w:rPr>
            <w:noProof/>
            <w:webHidden/>
          </w:rPr>
          <w:tab/>
        </w:r>
        <w:r w:rsidR="00CB4CF6">
          <w:rPr>
            <w:noProof/>
            <w:webHidden/>
          </w:rPr>
          <w:fldChar w:fldCharType="begin"/>
        </w:r>
        <w:r w:rsidR="00CB4CF6">
          <w:rPr>
            <w:noProof/>
            <w:webHidden/>
          </w:rPr>
          <w:instrText xml:space="preserve"> PAGEREF _Toc9537902 \h </w:instrText>
        </w:r>
        <w:r w:rsidR="00CB4CF6">
          <w:rPr>
            <w:noProof/>
            <w:webHidden/>
          </w:rPr>
        </w:r>
        <w:r w:rsidR="00CB4CF6">
          <w:rPr>
            <w:noProof/>
            <w:webHidden/>
          </w:rPr>
          <w:fldChar w:fldCharType="separate"/>
        </w:r>
        <w:r w:rsidR="00CB4CF6">
          <w:rPr>
            <w:noProof/>
            <w:webHidden/>
          </w:rPr>
          <w:t>86</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3" w:history="1">
        <w:r w:rsidR="00B639AA">
          <w:rPr>
            <w:rStyle w:val="Hipervnculo"/>
            <w:rFonts w:ascii="Times New Roman" w:hAnsi="Times New Roman" w:cs="Times New Roman"/>
            <w:b/>
            <w:noProof/>
          </w:rPr>
          <w:t>Figura</w:t>
        </w:r>
        <w:r w:rsidR="00CB4CF6" w:rsidRPr="007207DB">
          <w:rPr>
            <w:rStyle w:val="Hipervnculo"/>
            <w:rFonts w:ascii="Times New Roman" w:hAnsi="Times New Roman" w:cs="Times New Roman"/>
            <w:b/>
            <w:noProof/>
          </w:rPr>
          <w:t xml:space="preserve"> 35.</w:t>
        </w:r>
        <w:r w:rsidR="00CB4CF6" w:rsidRPr="007207DB">
          <w:rPr>
            <w:rStyle w:val="Hipervnculo"/>
            <w:rFonts w:ascii="Times New Roman" w:hAnsi="Times New Roman" w:cs="Times New Roman"/>
            <w:noProof/>
          </w:rPr>
          <w:t xml:space="preserve"> Ajuste del modelo del Cono para una razón I:S -1:2</w:t>
        </w:r>
        <w:r w:rsidR="00CB4CF6">
          <w:rPr>
            <w:noProof/>
            <w:webHidden/>
          </w:rPr>
          <w:tab/>
        </w:r>
        <w:r w:rsidR="00CB4CF6">
          <w:rPr>
            <w:noProof/>
            <w:webHidden/>
          </w:rPr>
          <w:fldChar w:fldCharType="begin"/>
        </w:r>
        <w:r w:rsidR="00CB4CF6">
          <w:rPr>
            <w:noProof/>
            <w:webHidden/>
          </w:rPr>
          <w:instrText xml:space="preserve"> PAGEREF _Toc9537903 \h </w:instrText>
        </w:r>
        <w:r w:rsidR="00CB4CF6">
          <w:rPr>
            <w:noProof/>
            <w:webHidden/>
          </w:rPr>
        </w:r>
        <w:r w:rsidR="00CB4CF6">
          <w:rPr>
            <w:noProof/>
            <w:webHidden/>
          </w:rPr>
          <w:fldChar w:fldCharType="separate"/>
        </w:r>
        <w:r w:rsidR="00CB4CF6">
          <w:rPr>
            <w:noProof/>
            <w:webHidden/>
          </w:rPr>
          <w:t>87</w:t>
        </w:r>
        <w:r w:rsidR="00CB4CF6">
          <w:rPr>
            <w:noProof/>
            <w:webHidden/>
          </w:rPr>
          <w:fldChar w:fldCharType="end"/>
        </w:r>
      </w:hyperlink>
    </w:p>
    <w:p w:rsidR="00416C9D" w:rsidRPr="00416C9D" w:rsidRDefault="006965BA" w:rsidP="00A31608">
      <w:pPr>
        <w:jc w:val="both"/>
        <w:rPr>
          <w:rFonts w:ascii="Times New Roman" w:hAnsi="Times New Roman" w:cs="Times New Roman"/>
          <w:smallCaps/>
          <w:sz w:val="24"/>
          <w:szCs w:val="24"/>
        </w:rPr>
      </w:pPr>
      <w:r w:rsidRPr="00686018">
        <w:rPr>
          <w:rFonts w:ascii="Times New Roman" w:hAnsi="Times New Roman" w:cs="Times New Roman"/>
          <w:smallCaps/>
          <w:sz w:val="24"/>
          <w:szCs w:val="24"/>
        </w:rPr>
        <w:fldChar w:fldCharType="end"/>
      </w:r>
    </w:p>
    <w:p w:rsidR="00972EC4" w:rsidRDefault="00053ED9" w:rsidP="00A31608">
      <w:pPr>
        <w:pStyle w:val="Ttulo7"/>
        <w:jc w:val="both"/>
        <w:rPr>
          <w:rFonts w:cs="Times New Roman"/>
          <w:sz w:val="28"/>
        </w:rPr>
      </w:pPr>
      <w:bookmarkStart w:id="11" w:name="_Toc9537768"/>
      <w:r w:rsidRPr="00686018">
        <w:rPr>
          <w:rFonts w:cs="Times New Roman"/>
          <w:sz w:val="28"/>
        </w:rPr>
        <w:lastRenderedPageBreak/>
        <w:t>Índice de T</w:t>
      </w:r>
      <w:r w:rsidR="00CE23E7" w:rsidRPr="00686018">
        <w:rPr>
          <w:rFonts w:cs="Times New Roman"/>
          <w:sz w:val="28"/>
        </w:rPr>
        <w:t>ablas</w:t>
      </w:r>
      <w:bookmarkEnd w:id="11"/>
    </w:p>
    <w:p w:rsidR="00E15592" w:rsidRPr="00E15592" w:rsidRDefault="00E15592" w:rsidP="00E15592"/>
    <w:p w:rsidR="00053ED9" w:rsidRPr="00E15592" w:rsidRDefault="00E15592" w:rsidP="00A31608">
      <w:pPr>
        <w:jc w:val="both"/>
        <w:rPr>
          <w:rFonts w:ascii="Times New Roman" w:hAnsi="Times New Roman" w:cs="Times New Roman"/>
          <w:b/>
          <w:sz w:val="24"/>
          <w:szCs w:val="24"/>
        </w:rPr>
      </w:pPr>
      <w:r>
        <w:rPr>
          <w:rFonts w:ascii="Times New Roman" w:hAnsi="Times New Roman" w:cs="Times New Roman"/>
          <w:b/>
          <w:sz w:val="24"/>
          <w:szCs w:val="24"/>
        </w:rPr>
        <w:t>Tabla</w:t>
      </w:r>
      <w:r w:rsidRPr="00E15592">
        <w:rPr>
          <w:rFonts w:ascii="Times New Roman" w:hAnsi="Times New Roman" w:cs="Times New Roman"/>
          <w:b/>
          <w:sz w:val="24"/>
          <w:szCs w:val="24"/>
        </w:rPr>
        <w:t xml:space="preserve"> N°                                                                                           </w:t>
      </w:r>
      <w:r>
        <w:rPr>
          <w:rFonts w:ascii="Times New Roman" w:hAnsi="Times New Roman" w:cs="Times New Roman"/>
          <w:b/>
          <w:sz w:val="24"/>
          <w:szCs w:val="24"/>
        </w:rPr>
        <w:t xml:space="preserve">                </w:t>
      </w:r>
      <w:r w:rsidRPr="00E1559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E15592">
        <w:rPr>
          <w:rFonts w:ascii="Times New Roman" w:hAnsi="Times New Roman" w:cs="Times New Roman"/>
          <w:b/>
          <w:sz w:val="24"/>
          <w:szCs w:val="24"/>
        </w:rPr>
        <w:t>Pág.</w:t>
      </w:r>
    </w:p>
    <w:p w:rsidR="00CB4CF6" w:rsidRDefault="006965BA">
      <w:pPr>
        <w:pStyle w:val="Tabladeilustraciones"/>
        <w:tabs>
          <w:tab w:val="right" w:pos="7927"/>
        </w:tabs>
        <w:rPr>
          <w:rFonts w:eastAsiaTheme="minorEastAsia"/>
          <w:smallCaps w:val="0"/>
          <w:noProof/>
          <w:sz w:val="22"/>
          <w:szCs w:val="22"/>
          <w:lang w:eastAsia="es-EC"/>
        </w:rPr>
      </w:pPr>
      <w:r w:rsidRPr="00686018">
        <w:rPr>
          <w:rFonts w:ascii="Times New Roman" w:hAnsi="Times New Roman" w:cs="Times New Roman"/>
          <w:b/>
          <w:smallCaps w:val="0"/>
          <w:sz w:val="28"/>
          <w:szCs w:val="24"/>
        </w:rPr>
        <w:fldChar w:fldCharType="begin"/>
      </w:r>
      <w:r w:rsidRPr="00686018">
        <w:rPr>
          <w:rFonts w:ascii="Times New Roman" w:hAnsi="Times New Roman" w:cs="Times New Roman"/>
          <w:b/>
          <w:smallCaps w:val="0"/>
          <w:sz w:val="28"/>
          <w:szCs w:val="24"/>
        </w:rPr>
        <w:instrText xml:space="preserve"> TOC \h \z \c "Tabla" </w:instrText>
      </w:r>
      <w:r w:rsidRPr="00686018">
        <w:rPr>
          <w:rFonts w:ascii="Times New Roman" w:hAnsi="Times New Roman" w:cs="Times New Roman"/>
          <w:b/>
          <w:smallCaps w:val="0"/>
          <w:sz w:val="28"/>
          <w:szCs w:val="24"/>
        </w:rPr>
        <w:fldChar w:fldCharType="separate"/>
      </w:r>
      <w:hyperlink w:anchor="_Toc9537904" w:history="1">
        <w:r w:rsidR="00CB4CF6" w:rsidRPr="00A6438D">
          <w:rPr>
            <w:rStyle w:val="Hipervnculo"/>
            <w:rFonts w:ascii="Times New Roman" w:hAnsi="Times New Roman" w:cs="Times New Roman"/>
            <w:b/>
            <w:noProof/>
          </w:rPr>
          <w:t>Tabla 1.</w:t>
        </w:r>
        <w:r w:rsidR="00CB4CF6" w:rsidRPr="00A6438D">
          <w:rPr>
            <w:rStyle w:val="Hipervnculo"/>
            <w:rFonts w:ascii="Times New Roman" w:hAnsi="Times New Roman" w:cs="Times New Roman"/>
            <w:noProof/>
          </w:rPr>
          <w:t xml:space="preserve">  Localización de la investigación propuesta</w:t>
        </w:r>
        <w:r w:rsidR="00CB4CF6">
          <w:rPr>
            <w:noProof/>
            <w:webHidden/>
          </w:rPr>
          <w:tab/>
        </w:r>
        <w:r w:rsidR="00CB4CF6">
          <w:rPr>
            <w:noProof/>
            <w:webHidden/>
          </w:rPr>
          <w:fldChar w:fldCharType="begin"/>
        </w:r>
        <w:r w:rsidR="00CB4CF6">
          <w:rPr>
            <w:noProof/>
            <w:webHidden/>
          </w:rPr>
          <w:instrText xml:space="preserve"> PAGEREF _Toc9537904 \h </w:instrText>
        </w:r>
        <w:r w:rsidR="00CB4CF6">
          <w:rPr>
            <w:noProof/>
            <w:webHidden/>
          </w:rPr>
        </w:r>
        <w:r w:rsidR="00CB4CF6">
          <w:rPr>
            <w:noProof/>
            <w:webHidden/>
          </w:rPr>
          <w:fldChar w:fldCharType="separate"/>
        </w:r>
        <w:r w:rsidR="00CB4CF6">
          <w:rPr>
            <w:noProof/>
            <w:webHidden/>
          </w:rPr>
          <w:t>25</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5" w:history="1">
        <w:r w:rsidR="00CB4CF6" w:rsidRPr="00A6438D">
          <w:rPr>
            <w:rStyle w:val="Hipervnculo"/>
            <w:rFonts w:ascii="Times New Roman" w:hAnsi="Times New Roman" w:cs="Times New Roman"/>
            <w:b/>
            <w:noProof/>
          </w:rPr>
          <w:t>Tabla 2.</w:t>
        </w:r>
        <w:r w:rsidR="00CB4CF6" w:rsidRPr="00A6438D">
          <w:rPr>
            <w:rStyle w:val="Hipervnculo"/>
            <w:rFonts w:ascii="Times New Roman" w:hAnsi="Times New Roman" w:cs="Times New Roman"/>
            <w:noProof/>
          </w:rPr>
          <w:t xml:space="preserve"> Parámetros de la situación geográfica y climática del lugar de la investigación</w:t>
        </w:r>
        <w:r w:rsidR="00CB4CF6">
          <w:rPr>
            <w:noProof/>
            <w:webHidden/>
          </w:rPr>
          <w:tab/>
        </w:r>
        <w:r w:rsidR="00CB4CF6">
          <w:rPr>
            <w:noProof/>
            <w:webHidden/>
          </w:rPr>
          <w:fldChar w:fldCharType="begin"/>
        </w:r>
        <w:r w:rsidR="00CB4CF6">
          <w:rPr>
            <w:noProof/>
            <w:webHidden/>
          </w:rPr>
          <w:instrText xml:space="preserve"> PAGEREF _Toc9537905 \h </w:instrText>
        </w:r>
        <w:r w:rsidR="00CB4CF6">
          <w:rPr>
            <w:noProof/>
            <w:webHidden/>
          </w:rPr>
        </w:r>
        <w:r w:rsidR="00CB4CF6">
          <w:rPr>
            <w:noProof/>
            <w:webHidden/>
          </w:rPr>
          <w:fldChar w:fldCharType="separate"/>
        </w:r>
        <w:r w:rsidR="00CB4CF6">
          <w:rPr>
            <w:noProof/>
            <w:webHidden/>
          </w:rPr>
          <w:t>25</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6" w:history="1">
        <w:r w:rsidR="00CB4CF6" w:rsidRPr="00A6438D">
          <w:rPr>
            <w:rStyle w:val="Hipervnculo"/>
            <w:rFonts w:ascii="Times New Roman" w:hAnsi="Times New Roman" w:cs="Times New Roman"/>
            <w:b/>
            <w:noProof/>
          </w:rPr>
          <w:t>Tabla 3</w:t>
        </w:r>
        <w:r w:rsidR="00CB4CF6" w:rsidRPr="00A6438D">
          <w:rPr>
            <w:rStyle w:val="Hipervnculo"/>
            <w:rFonts w:ascii="Times New Roman" w:hAnsi="Times New Roman" w:cs="Times New Roman"/>
            <w:noProof/>
          </w:rPr>
          <w:t>. Factor de estudio para monodigestión y codigestión anaerobia</w:t>
        </w:r>
        <w:r w:rsidR="00CB4CF6">
          <w:rPr>
            <w:noProof/>
            <w:webHidden/>
          </w:rPr>
          <w:tab/>
        </w:r>
        <w:r w:rsidR="00CB4CF6">
          <w:rPr>
            <w:noProof/>
            <w:webHidden/>
          </w:rPr>
          <w:fldChar w:fldCharType="begin"/>
        </w:r>
        <w:r w:rsidR="00CB4CF6">
          <w:rPr>
            <w:noProof/>
            <w:webHidden/>
          </w:rPr>
          <w:instrText xml:space="preserve"> PAGEREF _Toc9537906 \h </w:instrText>
        </w:r>
        <w:r w:rsidR="00CB4CF6">
          <w:rPr>
            <w:noProof/>
            <w:webHidden/>
          </w:rPr>
        </w:r>
        <w:r w:rsidR="00CB4CF6">
          <w:rPr>
            <w:noProof/>
            <w:webHidden/>
          </w:rPr>
          <w:fldChar w:fldCharType="separate"/>
        </w:r>
        <w:r w:rsidR="00CB4CF6">
          <w:rPr>
            <w:noProof/>
            <w:webHidden/>
          </w:rPr>
          <w:t>27</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7" w:history="1">
        <w:r w:rsidR="00CB4CF6" w:rsidRPr="00A6438D">
          <w:rPr>
            <w:rStyle w:val="Hipervnculo"/>
            <w:rFonts w:ascii="Times New Roman" w:hAnsi="Times New Roman" w:cs="Times New Roman"/>
            <w:b/>
            <w:noProof/>
          </w:rPr>
          <w:t>Tabla 4</w:t>
        </w:r>
        <w:r w:rsidR="00CB4CF6" w:rsidRPr="00A6438D">
          <w:rPr>
            <w:rStyle w:val="Hipervnculo"/>
            <w:rFonts w:ascii="Times New Roman" w:hAnsi="Times New Roman" w:cs="Times New Roman"/>
            <w:noProof/>
          </w:rPr>
          <w:t>. Vacas faenadas durante los años 2017 a 2019.</w:t>
        </w:r>
        <w:r w:rsidR="00CB4CF6">
          <w:rPr>
            <w:noProof/>
            <w:webHidden/>
          </w:rPr>
          <w:tab/>
        </w:r>
        <w:r w:rsidR="00CB4CF6">
          <w:rPr>
            <w:noProof/>
            <w:webHidden/>
          </w:rPr>
          <w:fldChar w:fldCharType="begin"/>
        </w:r>
        <w:r w:rsidR="00CB4CF6">
          <w:rPr>
            <w:noProof/>
            <w:webHidden/>
          </w:rPr>
          <w:instrText xml:space="preserve"> PAGEREF _Toc9537907 \h </w:instrText>
        </w:r>
        <w:r w:rsidR="00CB4CF6">
          <w:rPr>
            <w:noProof/>
            <w:webHidden/>
          </w:rPr>
        </w:r>
        <w:r w:rsidR="00CB4CF6">
          <w:rPr>
            <w:noProof/>
            <w:webHidden/>
          </w:rPr>
          <w:fldChar w:fldCharType="separate"/>
        </w:r>
        <w:r w:rsidR="00CB4CF6">
          <w:rPr>
            <w:noProof/>
            <w:webHidden/>
          </w:rPr>
          <w:t>28</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8" w:history="1">
        <w:r w:rsidR="00CB4CF6" w:rsidRPr="00A6438D">
          <w:rPr>
            <w:rStyle w:val="Hipervnculo"/>
            <w:rFonts w:ascii="Times New Roman" w:hAnsi="Times New Roman" w:cs="Times New Roman"/>
            <w:b/>
            <w:noProof/>
          </w:rPr>
          <w:t>Tabla 5.</w:t>
        </w:r>
        <w:r w:rsidR="00CB4CF6" w:rsidRPr="00A6438D">
          <w:rPr>
            <w:rStyle w:val="Hipervnculo"/>
            <w:rFonts w:ascii="Times New Roman" w:hAnsi="Times New Roman" w:cs="Times New Roman"/>
            <w:noProof/>
          </w:rPr>
          <w:t xml:space="preserve"> Cantidad de vacas faenadas diariamente.</w:t>
        </w:r>
        <w:r w:rsidR="00CB4CF6">
          <w:rPr>
            <w:noProof/>
            <w:webHidden/>
          </w:rPr>
          <w:tab/>
        </w:r>
        <w:r w:rsidR="00CB4CF6">
          <w:rPr>
            <w:noProof/>
            <w:webHidden/>
          </w:rPr>
          <w:fldChar w:fldCharType="begin"/>
        </w:r>
        <w:r w:rsidR="00CB4CF6">
          <w:rPr>
            <w:noProof/>
            <w:webHidden/>
          </w:rPr>
          <w:instrText xml:space="preserve"> PAGEREF _Toc9537908 \h </w:instrText>
        </w:r>
        <w:r w:rsidR="00CB4CF6">
          <w:rPr>
            <w:noProof/>
            <w:webHidden/>
          </w:rPr>
        </w:r>
        <w:r w:rsidR="00CB4CF6">
          <w:rPr>
            <w:noProof/>
            <w:webHidden/>
          </w:rPr>
          <w:fldChar w:fldCharType="separate"/>
        </w:r>
        <w:r w:rsidR="00CB4CF6">
          <w:rPr>
            <w:noProof/>
            <w:webHidden/>
          </w:rPr>
          <w:t>29</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09" w:history="1">
        <w:r w:rsidR="00CB4CF6" w:rsidRPr="00A6438D">
          <w:rPr>
            <w:rStyle w:val="Hipervnculo"/>
            <w:rFonts w:ascii="Times New Roman" w:hAnsi="Times New Roman" w:cs="Times New Roman"/>
            <w:b/>
            <w:noProof/>
          </w:rPr>
          <w:t>Tabla 6.</w:t>
        </w:r>
        <w:r w:rsidR="00CB4CF6" w:rsidRPr="00A6438D">
          <w:rPr>
            <w:rStyle w:val="Hipervnculo"/>
            <w:rFonts w:ascii="Times New Roman" w:hAnsi="Times New Roman" w:cs="Times New Roman"/>
            <w:noProof/>
          </w:rPr>
          <w:t xml:space="preserve"> Métodos para la caracterización de las materias primas.</w:t>
        </w:r>
        <w:r w:rsidR="00CB4CF6">
          <w:rPr>
            <w:noProof/>
            <w:webHidden/>
          </w:rPr>
          <w:tab/>
        </w:r>
        <w:r w:rsidR="00CB4CF6">
          <w:rPr>
            <w:noProof/>
            <w:webHidden/>
          </w:rPr>
          <w:fldChar w:fldCharType="begin"/>
        </w:r>
        <w:r w:rsidR="00CB4CF6">
          <w:rPr>
            <w:noProof/>
            <w:webHidden/>
          </w:rPr>
          <w:instrText xml:space="preserve"> PAGEREF _Toc9537909 \h </w:instrText>
        </w:r>
        <w:r w:rsidR="00CB4CF6">
          <w:rPr>
            <w:noProof/>
            <w:webHidden/>
          </w:rPr>
        </w:r>
        <w:r w:rsidR="00CB4CF6">
          <w:rPr>
            <w:noProof/>
            <w:webHidden/>
          </w:rPr>
          <w:fldChar w:fldCharType="separate"/>
        </w:r>
        <w:r w:rsidR="00CB4CF6">
          <w:rPr>
            <w:noProof/>
            <w:webHidden/>
          </w:rPr>
          <w:t>30</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0" w:history="1">
        <w:r w:rsidR="00CB4CF6" w:rsidRPr="00A6438D">
          <w:rPr>
            <w:rStyle w:val="Hipervnculo"/>
            <w:rFonts w:ascii="Times New Roman" w:hAnsi="Times New Roman" w:cs="Times New Roman"/>
            <w:b/>
            <w:noProof/>
          </w:rPr>
          <w:t>Tabla 7.</w:t>
        </w:r>
        <w:r w:rsidR="00CB4CF6" w:rsidRPr="00A6438D">
          <w:rPr>
            <w:rStyle w:val="Hipervnculo"/>
            <w:rFonts w:ascii="Times New Roman" w:hAnsi="Times New Roman" w:cs="Times New Roman"/>
            <w:noProof/>
          </w:rPr>
          <w:t xml:space="preserve"> Características de los digestores con su respectiva relación I/S</w:t>
        </w:r>
        <w:r w:rsidR="00CB4CF6">
          <w:rPr>
            <w:noProof/>
            <w:webHidden/>
          </w:rPr>
          <w:tab/>
        </w:r>
        <w:r w:rsidR="00CB4CF6">
          <w:rPr>
            <w:noProof/>
            <w:webHidden/>
          </w:rPr>
          <w:fldChar w:fldCharType="begin"/>
        </w:r>
        <w:r w:rsidR="00CB4CF6">
          <w:rPr>
            <w:noProof/>
            <w:webHidden/>
          </w:rPr>
          <w:instrText xml:space="preserve"> PAGEREF _Toc9537910 \h </w:instrText>
        </w:r>
        <w:r w:rsidR="00CB4CF6">
          <w:rPr>
            <w:noProof/>
            <w:webHidden/>
          </w:rPr>
        </w:r>
        <w:r w:rsidR="00CB4CF6">
          <w:rPr>
            <w:noProof/>
            <w:webHidden/>
          </w:rPr>
          <w:fldChar w:fldCharType="separate"/>
        </w:r>
        <w:r w:rsidR="00CB4CF6">
          <w:rPr>
            <w:noProof/>
            <w:webHidden/>
          </w:rPr>
          <w:t>31</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1" w:history="1">
        <w:r w:rsidR="00CB4CF6" w:rsidRPr="00A6438D">
          <w:rPr>
            <w:rStyle w:val="Hipervnculo"/>
            <w:rFonts w:ascii="Times New Roman" w:hAnsi="Times New Roman" w:cs="Times New Roman"/>
            <w:b/>
            <w:noProof/>
          </w:rPr>
          <w:t>Tabla 8.</w:t>
        </w:r>
        <w:r w:rsidR="00CB4CF6" w:rsidRPr="00A6438D">
          <w:rPr>
            <w:rStyle w:val="Hipervnculo"/>
            <w:rFonts w:ascii="Times New Roman" w:hAnsi="Times New Roman" w:cs="Times New Roman"/>
            <w:noProof/>
          </w:rPr>
          <w:t xml:space="preserve"> Configuración de los experimentos de mono-digestión y codigestión.</w:t>
        </w:r>
        <w:r w:rsidR="00CB4CF6">
          <w:rPr>
            <w:noProof/>
            <w:webHidden/>
          </w:rPr>
          <w:tab/>
        </w:r>
        <w:r w:rsidR="00CB4CF6">
          <w:rPr>
            <w:noProof/>
            <w:webHidden/>
          </w:rPr>
          <w:fldChar w:fldCharType="begin"/>
        </w:r>
        <w:r w:rsidR="00CB4CF6">
          <w:rPr>
            <w:noProof/>
            <w:webHidden/>
          </w:rPr>
          <w:instrText xml:space="preserve"> PAGEREF _Toc9537911 \h </w:instrText>
        </w:r>
        <w:r w:rsidR="00CB4CF6">
          <w:rPr>
            <w:noProof/>
            <w:webHidden/>
          </w:rPr>
        </w:r>
        <w:r w:rsidR="00CB4CF6">
          <w:rPr>
            <w:noProof/>
            <w:webHidden/>
          </w:rPr>
          <w:fldChar w:fldCharType="separate"/>
        </w:r>
        <w:r w:rsidR="00CB4CF6">
          <w:rPr>
            <w:noProof/>
            <w:webHidden/>
          </w:rPr>
          <w:t>34</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2" w:history="1">
        <w:r w:rsidR="00CB4CF6" w:rsidRPr="00A6438D">
          <w:rPr>
            <w:rStyle w:val="Hipervnculo"/>
            <w:rFonts w:ascii="Times New Roman" w:hAnsi="Times New Roman" w:cs="Times New Roman"/>
            <w:b/>
            <w:noProof/>
          </w:rPr>
          <w:t>Tabla 9.</w:t>
        </w:r>
        <w:r w:rsidR="00CB4CF6" w:rsidRPr="00A6438D">
          <w:rPr>
            <w:rStyle w:val="Hipervnculo"/>
            <w:rFonts w:ascii="Times New Roman" w:hAnsi="Times New Roman" w:cs="Times New Roman"/>
            <w:noProof/>
          </w:rPr>
          <w:t xml:space="preserve"> Características fisicoquímicas de los sustratos e inóculo.</w:t>
        </w:r>
        <w:r w:rsidR="00CB4CF6">
          <w:rPr>
            <w:noProof/>
            <w:webHidden/>
          </w:rPr>
          <w:tab/>
        </w:r>
        <w:r w:rsidR="00CB4CF6">
          <w:rPr>
            <w:noProof/>
            <w:webHidden/>
          </w:rPr>
          <w:fldChar w:fldCharType="begin"/>
        </w:r>
        <w:r w:rsidR="00CB4CF6">
          <w:rPr>
            <w:noProof/>
            <w:webHidden/>
          </w:rPr>
          <w:instrText xml:space="preserve"> PAGEREF _Toc9537912 \h </w:instrText>
        </w:r>
        <w:r w:rsidR="00CB4CF6">
          <w:rPr>
            <w:noProof/>
            <w:webHidden/>
          </w:rPr>
        </w:r>
        <w:r w:rsidR="00CB4CF6">
          <w:rPr>
            <w:noProof/>
            <w:webHidden/>
          </w:rPr>
          <w:fldChar w:fldCharType="separate"/>
        </w:r>
        <w:r w:rsidR="00CB4CF6">
          <w:rPr>
            <w:noProof/>
            <w:webHidden/>
          </w:rPr>
          <w:t>41</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3" w:history="1">
        <w:r w:rsidR="00CB4CF6" w:rsidRPr="00A6438D">
          <w:rPr>
            <w:rStyle w:val="Hipervnculo"/>
            <w:rFonts w:ascii="Times New Roman" w:hAnsi="Times New Roman" w:cs="Times New Roman"/>
            <w:b/>
            <w:noProof/>
          </w:rPr>
          <w:t>Tabla 10.</w:t>
        </w:r>
        <w:r w:rsidR="00CB4CF6" w:rsidRPr="00A6438D">
          <w:rPr>
            <w:rStyle w:val="Hipervnculo"/>
            <w:rFonts w:ascii="Times New Roman" w:hAnsi="Times New Roman" w:cs="Times New Roman"/>
            <w:noProof/>
          </w:rPr>
          <w:t xml:space="preserve"> Biogás acumulado promedio con relaciones diferentes de I:S y RE:TR</w:t>
        </w:r>
        <w:r w:rsidR="00CB4CF6">
          <w:rPr>
            <w:noProof/>
            <w:webHidden/>
          </w:rPr>
          <w:tab/>
        </w:r>
        <w:r w:rsidR="00CB4CF6">
          <w:rPr>
            <w:noProof/>
            <w:webHidden/>
          </w:rPr>
          <w:fldChar w:fldCharType="begin"/>
        </w:r>
        <w:r w:rsidR="00CB4CF6">
          <w:rPr>
            <w:noProof/>
            <w:webHidden/>
          </w:rPr>
          <w:instrText xml:space="preserve"> PAGEREF _Toc9537913 \h </w:instrText>
        </w:r>
        <w:r w:rsidR="00CB4CF6">
          <w:rPr>
            <w:noProof/>
            <w:webHidden/>
          </w:rPr>
        </w:r>
        <w:r w:rsidR="00CB4CF6">
          <w:rPr>
            <w:noProof/>
            <w:webHidden/>
          </w:rPr>
          <w:fldChar w:fldCharType="separate"/>
        </w:r>
        <w:r w:rsidR="00CB4CF6">
          <w:rPr>
            <w:noProof/>
            <w:webHidden/>
          </w:rPr>
          <w:t>44</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4" w:history="1">
        <w:r w:rsidR="00CB4CF6" w:rsidRPr="00A6438D">
          <w:rPr>
            <w:rStyle w:val="Hipervnculo"/>
            <w:rFonts w:ascii="Times New Roman" w:hAnsi="Times New Roman" w:cs="Times New Roman"/>
            <w:b/>
            <w:noProof/>
          </w:rPr>
          <w:t>Tabla 11.</w:t>
        </w:r>
        <w:r w:rsidR="00CB4CF6" w:rsidRPr="00A6438D">
          <w:rPr>
            <w:rStyle w:val="Hipervnculo"/>
            <w:rFonts w:ascii="Times New Roman" w:hAnsi="Times New Roman" w:cs="Times New Roman"/>
            <w:noProof/>
          </w:rPr>
          <w:t xml:space="preserve"> Metano acumulado promedio con relaciones diferentes de I:S y RE:TR.</w:t>
        </w:r>
        <w:r w:rsidR="00CB4CF6">
          <w:rPr>
            <w:noProof/>
            <w:webHidden/>
          </w:rPr>
          <w:tab/>
        </w:r>
        <w:r w:rsidR="00CB4CF6">
          <w:rPr>
            <w:noProof/>
            <w:webHidden/>
          </w:rPr>
          <w:fldChar w:fldCharType="begin"/>
        </w:r>
        <w:r w:rsidR="00CB4CF6">
          <w:rPr>
            <w:noProof/>
            <w:webHidden/>
          </w:rPr>
          <w:instrText xml:space="preserve"> PAGEREF _Toc9537914 \h </w:instrText>
        </w:r>
        <w:r w:rsidR="00CB4CF6">
          <w:rPr>
            <w:noProof/>
            <w:webHidden/>
          </w:rPr>
        </w:r>
        <w:r w:rsidR="00CB4CF6">
          <w:rPr>
            <w:noProof/>
            <w:webHidden/>
          </w:rPr>
          <w:fldChar w:fldCharType="separate"/>
        </w:r>
        <w:r w:rsidR="00CB4CF6">
          <w:rPr>
            <w:noProof/>
            <w:webHidden/>
          </w:rPr>
          <w:t>48</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5" w:history="1">
        <w:r w:rsidR="00CB4CF6" w:rsidRPr="00A6438D">
          <w:rPr>
            <w:rStyle w:val="Hipervnculo"/>
            <w:rFonts w:ascii="Times New Roman" w:hAnsi="Times New Roman" w:cs="Times New Roman"/>
            <w:b/>
            <w:noProof/>
          </w:rPr>
          <w:t>Tabla 12.</w:t>
        </w:r>
        <w:r w:rsidR="00CB4CF6" w:rsidRPr="00A6438D">
          <w:rPr>
            <w:rStyle w:val="Hipervnculo"/>
            <w:rFonts w:ascii="Times New Roman" w:hAnsi="Times New Roman" w:cs="Times New Roman"/>
            <w:noProof/>
          </w:rPr>
          <w:t xml:space="preserve"> Variación del pH durante la codigestión anaerobia al inicio y fin del experimento.</w:t>
        </w:r>
        <w:r w:rsidR="00CB4CF6">
          <w:rPr>
            <w:noProof/>
            <w:webHidden/>
          </w:rPr>
          <w:tab/>
        </w:r>
        <w:r w:rsidR="00CB4CF6">
          <w:rPr>
            <w:noProof/>
            <w:webHidden/>
          </w:rPr>
          <w:fldChar w:fldCharType="begin"/>
        </w:r>
        <w:r w:rsidR="00CB4CF6">
          <w:rPr>
            <w:noProof/>
            <w:webHidden/>
          </w:rPr>
          <w:instrText xml:space="preserve"> PAGEREF _Toc9537915 \h </w:instrText>
        </w:r>
        <w:r w:rsidR="00CB4CF6">
          <w:rPr>
            <w:noProof/>
            <w:webHidden/>
          </w:rPr>
        </w:r>
        <w:r w:rsidR="00CB4CF6">
          <w:rPr>
            <w:noProof/>
            <w:webHidden/>
          </w:rPr>
          <w:fldChar w:fldCharType="separate"/>
        </w:r>
        <w:r w:rsidR="00CB4CF6">
          <w:rPr>
            <w:noProof/>
            <w:webHidden/>
          </w:rPr>
          <w:t>48</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6" w:history="1">
        <w:r w:rsidR="00CB4CF6" w:rsidRPr="00A6438D">
          <w:rPr>
            <w:rStyle w:val="Hipervnculo"/>
            <w:rFonts w:ascii="Times New Roman" w:hAnsi="Times New Roman" w:cs="Times New Roman"/>
            <w:b/>
            <w:noProof/>
          </w:rPr>
          <w:t>Tabla 13.</w:t>
        </w:r>
        <w:r w:rsidR="00CB4CF6" w:rsidRPr="00A6438D">
          <w:rPr>
            <w:rStyle w:val="Hipervnculo"/>
            <w:rFonts w:ascii="Times New Roman" w:hAnsi="Times New Roman" w:cs="Times New Roman"/>
            <w:noProof/>
          </w:rPr>
          <w:t xml:space="preserve"> Variación de la relación C/N ocurrida durante la codigestión de RE y TR.</w:t>
        </w:r>
        <w:r w:rsidR="00CB4CF6">
          <w:rPr>
            <w:noProof/>
            <w:webHidden/>
          </w:rPr>
          <w:tab/>
        </w:r>
        <w:r w:rsidR="00CB4CF6">
          <w:rPr>
            <w:noProof/>
            <w:webHidden/>
          </w:rPr>
          <w:fldChar w:fldCharType="begin"/>
        </w:r>
        <w:r w:rsidR="00CB4CF6">
          <w:rPr>
            <w:noProof/>
            <w:webHidden/>
          </w:rPr>
          <w:instrText xml:space="preserve"> PAGEREF _Toc9537916 \h </w:instrText>
        </w:r>
        <w:r w:rsidR="00CB4CF6">
          <w:rPr>
            <w:noProof/>
            <w:webHidden/>
          </w:rPr>
        </w:r>
        <w:r w:rsidR="00CB4CF6">
          <w:rPr>
            <w:noProof/>
            <w:webHidden/>
          </w:rPr>
          <w:fldChar w:fldCharType="separate"/>
        </w:r>
        <w:r w:rsidR="00CB4CF6">
          <w:rPr>
            <w:noProof/>
            <w:webHidden/>
          </w:rPr>
          <w:t>49</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7" w:history="1">
        <w:r w:rsidR="00CB4CF6" w:rsidRPr="00A6438D">
          <w:rPr>
            <w:rStyle w:val="Hipervnculo"/>
            <w:rFonts w:ascii="Times New Roman" w:hAnsi="Times New Roman" w:cs="Times New Roman"/>
            <w:b/>
            <w:noProof/>
          </w:rPr>
          <w:t>Tabla 14.</w:t>
        </w:r>
        <w:r w:rsidR="00CB4CF6" w:rsidRPr="00A6438D">
          <w:rPr>
            <w:rStyle w:val="Hipervnculo"/>
            <w:rFonts w:ascii="Times New Roman" w:hAnsi="Times New Roman" w:cs="Times New Roman"/>
            <w:noProof/>
          </w:rPr>
          <w:t xml:space="preserve"> Índice de efecto sinérgico y biodegradabilidad ocurrida durante la codigestión de RE y TR.</w:t>
        </w:r>
        <w:r w:rsidR="00CB4CF6">
          <w:rPr>
            <w:noProof/>
            <w:webHidden/>
          </w:rPr>
          <w:tab/>
        </w:r>
        <w:r w:rsidR="00CB4CF6">
          <w:rPr>
            <w:noProof/>
            <w:webHidden/>
          </w:rPr>
          <w:fldChar w:fldCharType="begin"/>
        </w:r>
        <w:r w:rsidR="00CB4CF6">
          <w:rPr>
            <w:noProof/>
            <w:webHidden/>
          </w:rPr>
          <w:instrText xml:space="preserve"> PAGEREF _Toc9537917 \h </w:instrText>
        </w:r>
        <w:r w:rsidR="00CB4CF6">
          <w:rPr>
            <w:noProof/>
            <w:webHidden/>
          </w:rPr>
        </w:r>
        <w:r w:rsidR="00CB4CF6">
          <w:rPr>
            <w:noProof/>
            <w:webHidden/>
          </w:rPr>
          <w:fldChar w:fldCharType="separate"/>
        </w:r>
        <w:r w:rsidR="00CB4CF6">
          <w:rPr>
            <w:noProof/>
            <w:webHidden/>
          </w:rPr>
          <w:t>50</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8" w:history="1">
        <w:r w:rsidR="00CB4CF6" w:rsidRPr="00A6438D">
          <w:rPr>
            <w:rStyle w:val="Hipervnculo"/>
            <w:rFonts w:ascii="Times New Roman" w:hAnsi="Times New Roman" w:cs="Times New Roman"/>
            <w:b/>
            <w:noProof/>
          </w:rPr>
          <w:t>Tabla 15.</w:t>
        </w:r>
        <w:r w:rsidR="00CB4CF6" w:rsidRPr="00A6438D">
          <w:rPr>
            <w:rStyle w:val="Hipervnculo"/>
            <w:rFonts w:ascii="Times New Roman" w:hAnsi="Times New Roman" w:cs="Times New Roman"/>
            <w:noProof/>
          </w:rPr>
          <w:t xml:space="preserve"> Parámetros estimados del modelo modificado de Gompertz.</w:t>
        </w:r>
        <w:r w:rsidR="00CB4CF6">
          <w:rPr>
            <w:noProof/>
            <w:webHidden/>
          </w:rPr>
          <w:tab/>
        </w:r>
        <w:r w:rsidR="00CB4CF6">
          <w:rPr>
            <w:noProof/>
            <w:webHidden/>
          </w:rPr>
          <w:fldChar w:fldCharType="begin"/>
        </w:r>
        <w:r w:rsidR="00CB4CF6">
          <w:rPr>
            <w:noProof/>
            <w:webHidden/>
          </w:rPr>
          <w:instrText xml:space="preserve"> PAGEREF _Toc9537918 \h </w:instrText>
        </w:r>
        <w:r w:rsidR="00CB4CF6">
          <w:rPr>
            <w:noProof/>
            <w:webHidden/>
          </w:rPr>
        </w:r>
        <w:r w:rsidR="00CB4CF6">
          <w:rPr>
            <w:noProof/>
            <w:webHidden/>
          </w:rPr>
          <w:fldChar w:fldCharType="separate"/>
        </w:r>
        <w:r w:rsidR="00CB4CF6">
          <w:rPr>
            <w:noProof/>
            <w:webHidden/>
          </w:rPr>
          <w:t>54</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19" w:history="1">
        <w:r w:rsidR="00CB4CF6" w:rsidRPr="00A6438D">
          <w:rPr>
            <w:rStyle w:val="Hipervnculo"/>
            <w:rFonts w:ascii="Times New Roman" w:hAnsi="Times New Roman" w:cs="Times New Roman"/>
            <w:b/>
            <w:noProof/>
          </w:rPr>
          <w:t>Tabla 16.</w:t>
        </w:r>
        <w:r w:rsidR="00CB4CF6" w:rsidRPr="00A6438D">
          <w:rPr>
            <w:rStyle w:val="Hipervnculo"/>
            <w:rFonts w:ascii="Times New Roman" w:hAnsi="Times New Roman" w:cs="Times New Roman"/>
            <w:noProof/>
          </w:rPr>
          <w:t xml:space="preserve"> Parámetros estimados del modelo de Transferencia</w:t>
        </w:r>
        <w:r w:rsidR="00CB4CF6">
          <w:rPr>
            <w:noProof/>
            <w:webHidden/>
          </w:rPr>
          <w:tab/>
        </w:r>
        <w:r w:rsidR="00CB4CF6">
          <w:rPr>
            <w:noProof/>
            <w:webHidden/>
          </w:rPr>
          <w:fldChar w:fldCharType="begin"/>
        </w:r>
        <w:r w:rsidR="00CB4CF6">
          <w:rPr>
            <w:noProof/>
            <w:webHidden/>
          </w:rPr>
          <w:instrText xml:space="preserve"> PAGEREF _Toc9537919 \h </w:instrText>
        </w:r>
        <w:r w:rsidR="00CB4CF6">
          <w:rPr>
            <w:noProof/>
            <w:webHidden/>
          </w:rPr>
        </w:r>
        <w:r w:rsidR="00CB4CF6">
          <w:rPr>
            <w:noProof/>
            <w:webHidden/>
          </w:rPr>
          <w:fldChar w:fldCharType="separate"/>
        </w:r>
        <w:r w:rsidR="00CB4CF6">
          <w:rPr>
            <w:noProof/>
            <w:webHidden/>
          </w:rPr>
          <w:t>55</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0" w:history="1">
        <w:r w:rsidR="00CB4CF6" w:rsidRPr="00A6438D">
          <w:rPr>
            <w:rStyle w:val="Hipervnculo"/>
            <w:rFonts w:ascii="Times New Roman" w:hAnsi="Times New Roman" w:cs="Times New Roman"/>
            <w:b/>
            <w:noProof/>
          </w:rPr>
          <w:t>Tabla 17.</w:t>
        </w:r>
        <w:r w:rsidR="00CB4CF6" w:rsidRPr="00A6438D">
          <w:rPr>
            <w:rStyle w:val="Hipervnculo"/>
            <w:rFonts w:ascii="Times New Roman" w:hAnsi="Times New Roman" w:cs="Times New Roman"/>
            <w:noProof/>
          </w:rPr>
          <w:t xml:space="preserve"> Parámetros estimados del modelo del Cono</w:t>
        </w:r>
        <w:r w:rsidR="00CB4CF6">
          <w:rPr>
            <w:noProof/>
            <w:webHidden/>
          </w:rPr>
          <w:tab/>
        </w:r>
        <w:r w:rsidR="00CB4CF6">
          <w:rPr>
            <w:noProof/>
            <w:webHidden/>
          </w:rPr>
          <w:fldChar w:fldCharType="begin"/>
        </w:r>
        <w:r w:rsidR="00CB4CF6">
          <w:rPr>
            <w:noProof/>
            <w:webHidden/>
          </w:rPr>
          <w:instrText xml:space="preserve"> PAGEREF _Toc9537920 \h </w:instrText>
        </w:r>
        <w:r w:rsidR="00CB4CF6">
          <w:rPr>
            <w:noProof/>
            <w:webHidden/>
          </w:rPr>
        </w:r>
        <w:r w:rsidR="00CB4CF6">
          <w:rPr>
            <w:noProof/>
            <w:webHidden/>
          </w:rPr>
          <w:fldChar w:fldCharType="separate"/>
        </w:r>
        <w:r w:rsidR="00CB4CF6">
          <w:rPr>
            <w:noProof/>
            <w:webHidden/>
          </w:rPr>
          <w:t>55</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1" w:history="1">
        <w:r w:rsidR="00CB4CF6" w:rsidRPr="00A6438D">
          <w:rPr>
            <w:rStyle w:val="Hipervnculo"/>
            <w:rFonts w:ascii="Times New Roman" w:hAnsi="Times New Roman" w:cs="Times New Roman"/>
            <w:b/>
            <w:noProof/>
          </w:rPr>
          <w:t>Tabla 18.</w:t>
        </w:r>
        <w:r w:rsidR="00CB4CF6" w:rsidRPr="00A6438D">
          <w:rPr>
            <w:rStyle w:val="Hipervnculo"/>
            <w:rFonts w:ascii="Times New Roman" w:hAnsi="Times New Roman" w:cs="Times New Roman"/>
            <w:noProof/>
          </w:rPr>
          <w:t xml:space="preserve"> Parámetros estimados del modelo de Primer Orden.</w:t>
        </w:r>
        <w:r w:rsidR="00CB4CF6">
          <w:rPr>
            <w:noProof/>
            <w:webHidden/>
          </w:rPr>
          <w:tab/>
        </w:r>
        <w:r w:rsidR="00CB4CF6">
          <w:rPr>
            <w:noProof/>
            <w:webHidden/>
          </w:rPr>
          <w:fldChar w:fldCharType="begin"/>
        </w:r>
        <w:r w:rsidR="00CB4CF6">
          <w:rPr>
            <w:noProof/>
            <w:webHidden/>
          </w:rPr>
          <w:instrText xml:space="preserve"> PAGEREF _Toc9537921 \h </w:instrText>
        </w:r>
        <w:r w:rsidR="00CB4CF6">
          <w:rPr>
            <w:noProof/>
            <w:webHidden/>
          </w:rPr>
        </w:r>
        <w:r w:rsidR="00CB4CF6">
          <w:rPr>
            <w:noProof/>
            <w:webHidden/>
          </w:rPr>
          <w:fldChar w:fldCharType="separate"/>
        </w:r>
        <w:r w:rsidR="00CB4CF6">
          <w:rPr>
            <w:noProof/>
            <w:webHidden/>
          </w:rPr>
          <w:t>56</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2" w:history="1">
        <w:r w:rsidR="00CB4CF6" w:rsidRPr="00A6438D">
          <w:rPr>
            <w:rStyle w:val="Hipervnculo"/>
            <w:rFonts w:ascii="Times New Roman" w:hAnsi="Times New Roman" w:cs="Times New Roman"/>
            <w:b/>
            <w:noProof/>
          </w:rPr>
          <w:t>Tabla 19</w:t>
        </w:r>
        <w:r w:rsidR="00CB4CF6" w:rsidRPr="00A6438D">
          <w:rPr>
            <w:rStyle w:val="Hipervnculo"/>
            <w:rFonts w:ascii="Times New Roman" w:hAnsi="Times New Roman" w:cs="Times New Roman"/>
            <w:noProof/>
          </w:rPr>
          <w:t>. ANOVA para mL Biogás/g-SV, mL CH4/g-SV y %CH</w:t>
        </w:r>
        <w:r w:rsidR="00CB4CF6" w:rsidRPr="00A6438D">
          <w:rPr>
            <w:rStyle w:val="Hipervnculo"/>
            <w:rFonts w:ascii="Times New Roman" w:hAnsi="Times New Roman" w:cs="Times New Roman"/>
            <w:noProof/>
            <w:vertAlign w:val="subscript"/>
          </w:rPr>
          <w:t xml:space="preserve">4 </w:t>
        </w:r>
        <w:r w:rsidR="00CB4CF6" w:rsidRPr="00A6438D">
          <w:rPr>
            <w:rStyle w:val="Hipervnculo"/>
            <w:rFonts w:ascii="Times New Roman" w:hAnsi="Times New Roman" w:cs="Times New Roman"/>
            <w:noProof/>
          </w:rPr>
          <w:t>para una razón I:S – 2:1</w:t>
        </w:r>
        <w:r w:rsidR="00CB4CF6">
          <w:rPr>
            <w:noProof/>
            <w:webHidden/>
          </w:rPr>
          <w:tab/>
        </w:r>
        <w:r w:rsidR="00CB4CF6">
          <w:rPr>
            <w:noProof/>
            <w:webHidden/>
          </w:rPr>
          <w:fldChar w:fldCharType="begin"/>
        </w:r>
        <w:r w:rsidR="00CB4CF6">
          <w:rPr>
            <w:noProof/>
            <w:webHidden/>
          </w:rPr>
          <w:instrText xml:space="preserve"> PAGEREF _Toc9537922 \h </w:instrText>
        </w:r>
        <w:r w:rsidR="00CB4CF6">
          <w:rPr>
            <w:noProof/>
            <w:webHidden/>
          </w:rPr>
        </w:r>
        <w:r w:rsidR="00CB4CF6">
          <w:rPr>
            <w:noProof/>
            <w:webHidden/>
          </w:rPr>
          <w:fldChar w:fldCharType="separate"/>
        </w:r>
        <w:r w:rsidR="00CB4CF6">
          <w:rPr>
            <w:noProof/>
            <w:webHidden/>
          </w:rPr>
          <w:t>58</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3" w:history="1">
        <w:r w:rsidR="00CB4CF6" w:rsidRPr="00A6438D">
          <w:rPr>
            <w:rStyle w:val="Hipervnculo"/>
            <w:rFonts w:ascii="Times New Roman" w:hAnsi="Times New Roman" w:cs="Times New Roman"/>
            <w:b/>
            <w:noProof/>
          </w:rPr>
          <w:t>Tabla 20.</w:t>
        </w:r>
        <w:r w:rsidR="00CB4CF6" w:rsidRPr="00A6438D">
          <w:rPr>
            <w:rStyle w:val="Hipervnculo"/>
            <w:rFonts w:ascii="Times New Roman" w:hAnsi="Times New Roman" w:cs="Times New Roman"/>
            <w:noProof/>
          </w:rPr>
          <w:t xml:space="preserve"> Comparación de medias de Tukey para diferencias de las medias de RE y TR a una razón I:S – 2:1</w:t>
        </w:r>
        <w:r w:rsidR="00CB4CF6">
          <w:rPr>
            <w:noProof/>
            <w:webHidden/>
          </w:rPr>
          <w:tab/>
        </w:r>
        <w:r w:rsidR="00CB4CF6">
          <w:rPr>
            <w:noProof/>
            <w:webHidden/>
          </w:rPr>
          <w:fldChar w:fldCharType="begin"/>
        </w:r>
        <w:r w:rsidR="00CB4CF6">
          <w:rPr>
            <w:noProof/>
            <w:webHidden/>
          </w:rPr>
          <w:instrText xml:space="preserve"> PAGEREF _Toc9537923 \h </w:instrText>
        </w:r>
        <w:r w:rsidR="00CB4CF6">
          <w:rPr>
            <w:noProof/>
            <w:webHidden/>
          </w:rPr>
        </w:r>
        <w:r w:rsidR="00CB4CF6">
          <w:rPr>
            <w:noProof/>
            <w:webHidden/>
          </w:rPr>
          <w:fldChar w:fldCharType="separate"/>
        </w:r>
        <w:r w:rsidR="00CB4CF6">
          <w:rPr>
            <w:noProof/>
            <w:webHidden/>
          </w:rPr>
          <w:t>58</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4" w:history="1">
        <w:r w:rsidR="00CB4CF6" w:rsidRPr="00A6438D">
          <w:rPr>
            <w:rStyle w:val="Hipervnculo"/>
            <w:rFonts w:ascii="Times New Roman" w:hAnsi="Times New Roman" w:cs="Times New Roman"/>
            <w:b/>
            <w:noProof/>
          </w:rPr>
          <w:t>Tabla 21.</w:t>
        </w:r>
        <w:r w:rsidR="00CB4CF6" w:rsidRPr="00A6438D">
          <w:rPr>
            <w:rStyle w:val="Hipervnculo"/>
            <w:rFonts w:ascii="Times New Roman" w:hAnsi="Times New Roman" w:cs="Times New Roman"/>
            <w:noProof/>
          </w:rPr>
          <w:t xml:space="preserve"> ANOVA para mL Biogás/g-SV, mL CH4/g-SV y %CH</w:t>
        </w:r>
        <w:r w:rsidR="00CB4CF6" w:rsidRPr="00A6438D">
          <w:rPr>
            <w:rStyle w:val="Hipervnculo"/>
            <w:rFonts w:ascii="Times New Roman" w:hAnsi="Times New Roman" w:cs="Times New Roman"/>
            <w:noProof/>
            <w:vertAlign w:val="subscript"/>
          </w:rPr>
          <w:t xml:space="preserve">4 </w:t>
        </w:r>
        <w:r w:rsidR="00CB4CF6" w:rsidRPr="00A6438D">
          <w:rPr>
            <w:rStyle w:val="Hipervnculo"/>
            <w:rFonts w:ascii="Times New Roman" w:hAnsi="Times New Roman" w:cs="Times New Roman"/>
            <w:noProof/>
          </w:rPr>
          <w:t xml:space="preserve"> a una razón I:S – 1:1</w:t>
        </w:r>
        <w:r w:rsidR="00CB4CF6">
          <w:rPr>
            <w:noProof/>
            <w:webHidden/>
          </w:rPr>
          <w:tab/>
        </w:r>
        <w:r w:rsidR="00CB4CF6">
          <w:rPr>
            <w:noProof/>
            <w:webHidden/>
          </w:rPr>
          <w:fldChar w:fldCharType="begin"/>
        </w:r>
        <w:r w:rsidR="00CB4CF6">
          <w:rPr>
            <w:noProof/>
            <w:webHidden/>
          </w:rPr>
          <w:instrText xml:space="preserve"> PAGEREF _Toc9537924 \h </w:instrText>
        </w:r>
        <w:r w:rsidR="00CB4CF6">
          <w:rPr>
            <w:noProof/>
            <w:webHidden/>
          </w:rPr>
        </w:r>
        <w:r w:rsidR="00CB4CF6">
          <w:rPr>
            <w:noProof/>
            <w:webHidden/>
          </w:rPr>
          <w:fldChar w:fldCharType="separate"/>
        </w:r>
        <w:r w:rsidR="00CB4CF6">
          <w:rPr>
            <w:noProof/>
            <w:webHidden/>
          </w:rPr>
          <w:t>59</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5" w:history="1">
        <w:r w:rsidR="00CB4CF6" w:rsidRPr="00A6438D">
          <w:rPr>
            <w:rStyle w:val="Hipervnculo"/>
            <w:rFonts w:ascii="Times New Roman" w:hAnsi="Times New Roman" w:cs="Times New Roman"/>
            <w:b/>
            <w:noProof/>
          </w:rPr>
          <w:t>Tabla 22</w:t>
        </w:r>
        <w:r w:rsidR="00CB4CF6" w:rsidRPr="00A6438D">
          <w:rPr>
            <w:rStyle w:val="Hipervnculo"/>
            <w:rFonts w:ascii="Times New Roman" w:hAnsi="Times New Roman" w:cs="Times New Roman"/>
            <w:noProof/>
          </w:rPr>
          <w:t>. Comparación de medias de Tukey para diferencias de las medias de RE y TR a una razón I:S – 1:1</w:t>
        </w:r>
        <w:r w:rsidR="00CB4CF6">
          <w:rPr>
            <w:noProof/>
            <w:webHidden/>
          </w:rPr>
          <w:tab/>
        </w:r>
        <w:r w:rsidR="00CB4CF6">
          <w:rPr>
            <w:noProof/>
            <w:webHidden/>
          </w:rPr>
          <w:fldChar w:fldCharType="begin"/>
        </w:r>
        <w:r w:rsidR="00CB4CF6">
          <w:rPr>
            <w:noProof/>
            <w:webHidden/>
          </w:rPr>
          <w:instrText xml:space="preserve"> PAGEREF _Toc9537925 \h </w:instrText>
        </w:r>
        <w:r w:rsidR="00CB4CF6">
          <w:rPr>
            <w:noProof/>
            <w:webHidden/>
          </w:rPr>
        </w:r>
        <w:r w:rsidR="00CB4CF6">
          <w:rPr>
            <w:noProof/>
            <w:webHidden/>
          </w:rPr>
          <w:fldChar w:fldCharType="separate"/>
        </w:r>
        <w:r w:rsidR="00CB4CF6">
          <w:rPr>
            <w:noProof/>
            <w:webHidden/>
          </w:rPr>
          <w:t>60</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6" w:history="1">
        <w:r w:rsidR="00CB4CF6" w:rsidRPr="00A6438D">
          <w:rPr>
            <w:rStyle w:val="Hipervnculo"/>
            <w:rFonts w:ascii="Times New Roman" w:hAnsi="Times New Roman" w:cs="Times New Roman"/>
            <w:b/>
            <w:noProof/>
          </w:rPr>
          <w:t>Tabla 23.</w:t>
        </w:r>
        <w:r w:rsidR="00CB4CF6" w:rsidRPr="00A6438D">
          <w:rPr>
            <w:rStyle w:val="Hipervnculo"/>
            <w:rFonts w:ascii="Times New Roman" w:hAnsi="Times New Roman" w:cs="Times New Roman"/>
            <w:noProof/>
          </w:rPr>
          <w:t xml:space="preserve"> ANOVA para mL Biogás/g-SV, mL CH4/g-SV y %CH4 a una razón I:S – 1:2.</w:t>
        </w:r>
        <w:r w:rsidR="00CB4CF6">
          <w:rPr>
            <w:noProof/>
            <w:webHidden/>
          </w:rPr>
          <w:tab/>
        </w:r>
        <w:r w:rsidR="00CB4CF6">
          <w:rPr>
            <w:noProof/>
            <w:webHidden/>
          </w:rPr>
          <w:fldChar w:fldCharType="begin"/>
        </w:r>
        <w:r w:rsidR="00CB4CF6">
          <w:rPr>
            <w:noProof/>
            <w:webHidden/>
          </w:rPr>
          <w:instrText xml:space="preserve"> PAGEREF _Toc9537926 \h </w:instrText>
        </w:r>
        <w:r w:rsidR="00CB4CF6">
          <w:rPr>
            <w:noProof/>
            <w:webHidden/>
          </w:rPr>
        </w:r>
        <w:r w:rsidR="00CB4CF6">
          <w:rPr>
            <w:noProof/>
            <w:webHidden/>
          </w:rPr>
          <w:fldChar w:fldCharType="separate"/>
        </w:r>
        <w:r w:rsidR="00CB4CF6">
          <w:rPr>
            <w:noProof/>
            <w:webHidden/>
          </w:rPr>
          <w:t>60</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7" w:history="1">
        <w:r w:rsidR="00CB4CF6" w:rsidRPr="00A6438D">
          <w:rPr>
            <w:rStyle w:val="Hipervnculo"/>
            <w:rFonts w:ascii="Times New Roman" w:hAnsi="Times New Roman" w:cs="Times New Roman"/>
            <w:b/>
            <w:noProof/>
          </w:rPr>
          <w:t>Tabla 24.</w:t>
        </w:r>
        <w:r w:rsidR="00CB4CF6" w:rsidRPr="00A6438D">
          <w:rPr>
            <w:rStyle w:val="Hipervnculo"/>
            <w:rFonts w:ascii="Times New Roman" w:hAnsi="Times New Roman" w:cs="Times New Roman"/>
            <w:noProof/>
          </w:rPr>
          <w:t xml:space="preserve"> Comparación de medias de Tukey para diferencias de las medias de RE y TR a una razón I:S – 1:2.</w:t>
        </w:r>
        <w:r w:rsidR="00CB4CF6">
          <w:rPr>
            <w:noProof/>
            <w:webHidden/>
          </w:rPr>
          <w:tab/>
        </w:r>
        <w:r w:rsidR="00CB4CF6">
          <w:rPr>
            <w:noProof/>
            <w:webHidden/>
          </w:rPr>
          <w:fldChar w:fldCharType="begin"/>
        </w:r>
        <w:r w:rsidR="00CB4CF6">
          <w:rPr>
            <w:noProof/>
            <w:webHidden/>
          </w:rPr>
          <w:instrText xml:space="preserve"> PAGEREF _Toc9537927 \h </w:instrText>
        </w:r>
        <w:r w:rsidR="00CB4CF6">
          <w:rPr>
            <w:noProof/>
            <w:webHidden/>
          </w:rPr>
        </w:r>
        <w:r w:rsidR="00CB4CF6">
          <w:rPr>
            <w:noProof/>
            <w:webHidden/>
          </w:rPr>
          <w:fldChar w:fldCharType="separate"/>
        </w:r>
        <w:r w:rsidR="00CB4CF6">
          <w:rPr>
            <w:noProof/>
            <w:webHidden/>
          </w:rPr>
          <w:t>61</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28" w:history="1">
        <w:r w:rsidR="00CB4CF6" w:rsidRPr="00A6438D">
          <w:rPr>
            <w:rStyle w:val="Hipervnculo"/>
            <w:rFonts w:ascii="Times New Roman" w:hAnsi="Times New Roman" w:cs="Times New Roman"/>
            <w:b/>
            <w:noProof/>
          </w:rPr>
          <w:t>Tabla 25.</w:t>
        </w:r>
        <w:r w:rsidR="00CB4CF6" w:rsidRPr="00A6438D">
          <w:rPr>
            <w:rStyle w:val="Hipervnculo"/>
            <w:rFonts w:ascii="Times New Roman" w:hAnsi="Times New Roman" w:cs="Times New Roman"/>
            <w:noProof/>
          </w:rPr>
          <w:t xml:space="preserve"> Porcentaje de metano promedio a los 40 días de digestión.</w:t>
        </w:r>
        <w:r w:rsidR="00CB4CF6">
          <w:rPr>
            <w:noProof/>
            <w:webHidden/>
          </w:rPr>
          <w:tab/>
        </w:r>
        <w:r w:rsidR="00CB4CF6">
          <w:rPr>
            <w:noProof/>
            <w:webHidden/>
          </w:rPr>
          <w:fldChar w:fldCharType="begin"/>
        </w:r>
        <w:r w:rsidR="00CB4CF6">
          <w:rPr>
            <w:noProof/>
            <w:webHidden/>
          </w:rPr>
          <w:instrText xml:space="preserve"> PAGEREF _Toc9537928 \h </w:instrText>
        </w:r>
        <w:r w:rsidR="00CB4CF6">
          <w:rPr>
            <w:noProof/>
            <w:webHidden/>
          </w:rPr>
        </w:r>
        <w:r w:rsidR="00CB4CF6">
          <w:rPr>
            <w:noProof/>
            <w:webHidden/>
          </w:rPr>
          <w:fldChar w:fldCharType="separate"/>
        </w:r>
        <w:r w:rsidR="00CB4CF6">
          <w:rPr>
            <w:noProof/>
            <w:webHidden/>
          </w:rPr>
          <w:t>62</w:t>
        </w:r>
        <w:r w:rsidR="00CB4CF6">
          <w:rPr>
            <w:noProof/>
            <w:webHidden/>
          </w:rPr>
          <w:fldChar w:fldCharType="end"/>
        </w:r>
      </w:hyperlink>
    </w:p>
    <w:p w:rsidR="00CE23E7" w:rsidRPr="00686018" w:rsidRDefault="006965BA" w:rsidP="00A31608">
      <w:pPr>
        <w:jc w:val="both"/>
        <w:rPr>
          <w:rFonts w:ascii="Times New Roman" w:hAnsi="Times New Roman" w:cs="Times New Roman"/>
          <w:b/>
          <w:sz w:val="28"/>
          <w:szCs w:val="24"/>
        </w:rPr>
      </w:pPr>
      <w:r w:rsidRPr="00686018">
        <w:rPr>
          <w:rFonts w:ascii="Times New Roman" w:hAnsi="Times New Roman" w:cs="Times New Roman"/>
          <w:b/>
          <w:smallCaps/>
          <w:sz w:val="28"/>
          <w:szCs w:val="24"/>
        </w:rPr>
        <w:fldChar w:fldCharType="end"/>
      </w:r>
    </w:p>
    <w:p w:rsidR="00AD658F" w:rsidRPr="00686018" w:rsidRDefault="00AD658F" w:rsidP="00A31608">
      <w:pPr>
        <w:jc w:val="both"/>
        <w:rPr>
          <w:rFonts w:ascii="Times New Roman" w:hAnsi="Times New Roman" w:cs="Times New Roman"/>
          <w:sz w:val="24"/>
          <w:szCs w:val="24"/>
        </w:rPr>
      </w:pPr>
    </w:p>
    <w:p w:rsidR="005418FE" w:rsidRPr="00686018" w:rsidRDefault="005418FE" w:rsidP="00A31608">
      <w:pPr>
        <w:jc w:val="both"/>
        <w:rPr>
          <w:rFonts w:ascii="Times New Roman" w:hAnsi="Times New Roman" w:cs="Times New Roman"/>
          <w:sz w:val="24"/>
          <w:szCs w:val="24"/>
        </w:rPr>
      </w:pPr>
    </w:p>
    <w:p w:rsidR="002F3EC6" w:rsidRPr="00686018" w:rsidRDefault="002F3EC6" w:rsidP="00A31608">
      <w:pPr>
        <w:jc w:val="both"/>
        <w:rPr>
          <w:rFonts w:ascii="Times New Roman" w:hAnsi="Times New Roman" w:cs="Times New Roman"/>
          <w:sz w:val="24"/>
          <w:szCs w:val="24"/>
        </w:rPr>
      </w:pPr>
    </w:p>
    <w:p w:rsidR="002F3EC6" w:rsidRPr="00686018" w:rsidRDefault="002F3EC6" w:rsidP="00A31608">
      <w:pPr>
        <w:jc w:val="both"/>
        <w:rPr>
          <w:rFonts w:ascii="Times New Roman" w:hAnsi="Times New Roman" w:cs="Times New Roman"/>
          <w:sz w:val="24"/>
          <w:szCs w:val="24"/>
        </w:rPr>
      </w:pPr>
    </w:p>
    <w:p w:rsidR="002F3EC6" w:rsidRPr="00686018" w:rsidRDefault="002F3EC6" w:rsidP="00A31608">
      <w:pPr>
        <w:jc w:val="both"/>
        <w:rPr>
          <w:rFonts w:ascii="Times New Roman" w:hAnsi="Times New Roman" w:cs="Times New Roman"/>
          <w:sz w:val="24"/>
          <w:szCs w:val="24"/>
        </w:rPr>
      </w:pPr>
    </w:p>
    <w:p w:rsidR="00053ED9" w:rsidRPr="00686018" w:rsidRDefault="00053ED9" w:rsidP="00A31608">
      <w:pPr>
        <w:jc w:val="both"/>
        <w:rPr>
          <w:rFonts w:ascii="Times New Roman" w:hAnsi="Times New Roman" w:cs="Times New Roman"/>
          <w:sz w:val="24"/>
          <w:szCs w:val="24"/>
        </w:rPr>
      </w:pPr>
    </w:p>
    <w:p w:rsidR="00416C9D" w:rsidRPr="00686018" w:rsidRDefault="00416C9D" w:rsidP="00A31608">
      <w:pPr>
        <w:jc w:val="both"/>
        <w:rPr>
          <w:rFonts w:ascii="Times New Roman" w:hAnsi="Times New Roman" w:cs="Times New Roman"/>
          <w:sz w:val="24"/>
          <w:szCs w:val="24"/>
        </w:rPr>
      </w:pPr>
    </w:p>
    <w:p w:rsidR="001B7ACB" w:rsidRDefault="001B7ACB" w:rsidP="00A31608">
      <w:pPr>
        <w:pStyle w:val="Ttulo7"/>
        <w:spacing w:before="360" w:after="360"/>
        <w:jc w:val="both"/>
        <w:rPr>
          <w:rFonts w:cs="Times New Roman"/>
          <w:sz w:val="28"/>
        </w:rPr>
      </w:pPr>
      <w:bookmarkStart w:id="12" w:name="_Toc9537769"/>
      <w:r>
        <w:rPr>
          <w:rFonts w:cs="Times New Roman"/>
          <w:sz w:val="28"/>
        </w:rPr>
        <w:lastRenderedPageBreak/>
        <w:t>Índice de Anexos</w:t>
      </w:r>
      <w:bookmarkEnd w:id="12"/>
    </w:p>
    <w:p w:rsidR="00171726" w:rsidRPr="00171726" w:rsidRDefault="00171726" w:rsidP="00171726">
      <w:pPr>
        <w:jc w:val="both"/>
        <w:rPr>
          <w:rFonts w:ascii="Times New Roman" w:hAnsi="Times New Roman" w:cs="Times New Roman"/>
          <w:b/>
          <w:sz w:val="24"/>
          <w:szCs w:val="24"/>
        </w:rPr>
      </w:pPr>
      <w:r>
        <w:rPr>
          <w:rFonts w:ascii="Times New Roman" w:hAnsi="Times New Roman" w:cs="Times New Roman"/>
          <w:b/>
          <w:sz w:val="24"/>
          <w:szCs w:val="24"/>
        </w:rPr>
        <w:t>A</w:t>
      </w:r>
      <w:r w:rsidR="00416C9D">
        <w:rPr>
          <w:rFonts w:ascii="Times New Roman" w:hAnsi="Times New Roman" w:cs="Times New Roman"/>
          <w:b/>
          <w:sz w:val="24"/>
          <w:szCs w:val="24"/>
        </w:rPr>
        <w:t>nexo</w:t>
      </w:r>
      <w:r w:rsidRPr="00E15592">
        <w:rPr>
          <w:rFonts w:ascii="Times New Roman" w:hAnsi="Times New Roman" w:cs="Times New Roman"/>
          <w:b/>
          <w:sz w:val="24"/>
          <w:szCs w:val="24"/>
        </w:rPr>
        <w:t xml:space="preserve"> N°  </w:t>
      </w:r>
      <w:r w:rsidR="002B5EB6">
        <w:rPr>
          <w:rFonts w:ascii="Times New Roman" w:hAnsi="Times New Roman" w:cs="Times New Roman"/>
          <w:b/>
          <w:sz w:val="24"/>
          <w:szCs w:val="24"/>
        </w:rPr>
        <w:t xml:space="preserve">       </w:t>
      </w:r>
      <w:r w:rsidRPr="00E1559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E1559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E15592">
        <w:rPr>
          <w:rFonts w:ascii="Times New Roman" w:hAnsi="Times New Roman" w:cs="Times New Roman"/>
          <w:b/>
          <w:sz w:val="24"/>
          <w:szCs w:val="24"/>
        </w:rPr>
        <w:t>Pág.</w:t>
      </w:r>
    </w:p>
    <w:p w:rsidR="00CB4CF6" w:rsidRDefault="00171726">
      <w:pPr>
        <w:pStyle w:val="Tabladeilustraciones"/>
        <w:tabs>
          <w:tab w:val="right" w:pos="7927"/>
        </w:tabs>
        <w:rPr>
          <w:rFonts w:eastAsiaTheme="minorEastAsia"/>
          <w:smallCaps w:val="0"/>
          <w:noProof/>
          <w:sz w:val="22"/>
          <w:szCs w:val="22"/>
          <w:lang w:eastAsia="es-EC"/>
        </w:rPr>
      </w:pPr>
      <w:r>
        <w:fldChar w:fldCharType="begin"/>
      </w:r>
      <w:r>
        <w:instrText xml:space="preserve"> TOC \h \z \c "ANEXO" </w:instrText>
      </w:r>
      <w:r>
        <w:fldChar w:fldCharType="separate"/>
      </w:r>
      <w:hyperlink w:anchor="_Toc9537929" w:history="1">
        <w:r w:rsidR="00CB4CF6" w:rsidRPr="00926A30">
          <w:rPr>
            <w:rStyle w:val="Hipervnculo"/>
            <w:rFonts w:ascii="Times New Roman" w:hAnsi="Times New Roman" w:cs="Times New Roman"/>
            <w:b/>
            <w:noProof/>
          </w:rPr>
          <w:t xml:space="preserve">ANEXO 1. </w:t>
        </w:r>
        <w:r w:rsidR="00CB4CF6" w:rsidRPr="00926A30">
          <w:rPr>
            <w:rStyle w:val="Hipervnculo"/>
            <w:rFonts w:ascii="Times New Roman" w:hAnsi="Times New Roman" w:cs="Times New Roman"/>
            <w:noProof/>
          </w:rPr>
          <w:t>Mapa de la ubicación de la investigación</w:t>
        </w:r>
        <w:r w:rsidR="00CB4CF6">
          <w:rPr>
            <w:noProof/>
            <w:webHidden/>
          </w:rPr>
          <w:tab/>
        </w:r>
        <w:r w:rsidR="00CB4CF6">
          <w:rPr>
            <w:noProof/>
            <w:webHidden/>
          </w:rPr>
          <w:fldChar w:fldCharType="begin"/>
        </w:r>
        <w:r w:rsidR="00CB4CF6">
          <w:rPr>
            <w:noProof/>
            <w:webHidden/>
          </w:rPr>
          <w:instrText xml:space="preserve"> PAGEREF _Toc9537929 \h </w:instrText>
        </w:r>
        <w:r w:rsidR="00CB4CF6">
          <w:rPr>
            <w:noProof/>
            <w:webHidden/>
          </w:rPr>
        </w:r>
        <w:r w:rsidR="00CB4CF6">
          <w:rPr>
            <w:noProof/>
            <w:webHidden/>
          </w:rPr>
          <w:fldChar w:fldCharType="separate"/>
        </w:r>
        <w:r w:rsidR="00CB4CF6">
          <w:rPr>
            <w:noProof/>
            <w:webHidden/>
          </w:rPr>
          <w:t>70</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30" w:history="1">
        <w:r w:rsidR="00CB4CF6" w:rsidRPr="00926A30">
          <w:rPr>
            <w:rStyle w:val="Hipervnculo"/>
            <w:rFonts w:ascii="Times New Roman" w:hAnsi="Times New Roman" w:cs="Times New Roman"/>
            <w:b/>
            <w:noProof/>
          </w:rPr>
          <w:t xml:space="preserve">ANEXO 2. </w:t>
        </w:r>
        <w:r w:rsidR="00CB4CF6" w:rsidRPr="00926A30">
          <w:rPr>
            <w:rStyle w:val="Hipervnculo"/>
            <w:rFonts w:ascii="Times New Roman" w:hAnsi="Times New Roman" w:cs="Times New Roman"/>
            <w:noProof/>
          </w:rPr>
          <w:t>Fotografías del proceso experimental</w:t>
        </w:r>
        <w:r w:rsidR="00CB4CF6">
          <w:rPr>
            <w:noProof/>
            <w:webHidden/>
          </w:rPr>
          <w:tab/>
        </w:r>
        <w:r w:rsidR="00CB4CF6">
          <w:rPr>
            <w:noProof/>
            <w:webHidden/>
          </w:rPr>
          <w:fldChar w:fldCharType="begin"/>
        </w:r>
        <w:r w:rsidR="00CB4CF6">
          <w:rPr>
            <w:noProof/>
            <w:webHidden/>
          </w:rPr>
          <w:instrText xml:space="preserve"> PAGEREF _Toc9537930 \h </w:instrText>
        </w:r>
        <w:r w:rsidR="00CB4CF6">
          <w:rPr>
            <w:noProof/>
            <w:webHidden/>
          </w:rPr>
        </w:r>
        <w:r w:rsidR="00CB4CF6">
          <w:rPr>
            <w:noProof/>
            <w:webHidden/>
          </w:rPr>
          <w:fldChar w:fldCharType="separate"/>
        </w:r>
        <w:r w:rsidR="00CB4CF6">
          <w:rPr>
            <w:noProof/>
            <w:webHidden/>
          </w:rPr>
          <w:t>71</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31" w:history="1">
        <w:r w:rsidR="00CB4CF6" w:rsidRPr="00926A30">
          <w:rPr>
            <w:rStyle w:val="Hipervnculo"/>
            <w:rFonts w:ascii="Times New Roman" w:hAnsi="Times New Roman" w:cs="Times New Roman"/>
            <w:b/>
            <w:noProof/>
          </w:rPr>
          <w:t xml:space="preserve">ANEXO 3. </w:t>
        </w:r>
        <w:r w:rsidR="00CB4CF6" w:rsidRPr="00926A30">
          <w:rPr>
            <w:rStyle w:val="Hipervnculo"/>
            <w:rFonts w:ascii="Times New Roman" w:hAnsi="Times New Roman" w:cs="Times New Roman"/>
            <w:noProof/>
          </w:rPr>
          <w:t>Glosario de términos</w:t>
        </w:r>
        <w:r w:rsidR="00CB4CF6">
          <w:rPr>
            <w:noProof/>
            <w:webHidden/>
          </w:rPr>
          <w:tab/>
        </w:r>
        <w:r w:rsidR="00CB4CF6">
          <w:rPr>
            <w:noProof/>
            <w:webHidden/>
          </w:rPr>
          <w:fldChar w:fldCharType="begin"/>
        </w:r>
        <w:r w:rsidR="00CB4CF6">
          <w:rPr>
            <w:noProof/>
            <w:webHidden/>
          </w:rPr>
          <w:instrText xml:space="preserve"> PAGEREF _Toc9537931 \h </w:instrText>
        </w:r>
        <w:r w:rsidR="00CB4CF6">
          <w:rPr>
            <w:noProof/>
            <w:webHidden/>
          </w:rPr>
        </w:r>
        <w:r w:rsidR="00CB4CF6">
          <w:rPr>
            <w:noProof/>
            <w:webHidden/>
          </w:rPr>
          <w:fldChar w:fldCharType="separate"/>
        </w:r>
        <w:r w:rsidR="00CB4CF6">
          <w:rPr>
            <w:noProof/>
            <w:webHidden/>
          </w:rPr>
          <w:t>75</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32" w:history="1">
        <w:r w:rsidR="00CB4CF6" w:rsidRPr="00926A30">
          <w:rPr>
            <w:rStyle w:val="Hipervnculo"/>
            <w:rFonts w:ascii="Times New Roman" w:hAnsi="Times New Roman" w:cs="Times New Roman"/>
            <w:b/>
            <w:noProof/>
          </w:rPr>
          <w:t xml:space="preserve">ANEXO 4. </w:t>
        </w:r>
        <w:r w:rsidR="00CB4CF6" w:rsidRPr="00926A30">
          <w:rPr>
            <w:rStyle w:val="Hipervnculo"/>
            <w:rFonts w:ascii="Times New Roman" w:hAnsi="Times New Roman" w:cs="Times New Roman"/>
            <w:noProof/>
          </w:rPr>
          <w:t>Características fisicoquímicas de los sustratos e inóculo</w:t>
        </w:r>
        <w:r w:rsidR="00CB4CF6">
          <w:rPr>
            <w:noProof/>
            <w:webHidden/>
          </w:rPr>
          <w:tab/>
        </w:r>
        <w:r w:rsidR="00CB4CF6">
          <w:rPr>
            <w:noProof/>
            <w:webHidden/>
          </w:rPr>
          <w:fldChar w:fldCharType="begin"/>
        </w:r>
        <w:r w:rsidR="00CB4CF6">
          <w:rPr>
            <w:noProof/>
            <w:webHidden/>
          </w:rPr>
          <w:instrText xml:space="preserve"> PAGEREF _Toc9537932 \h </w:instrText>
        </w:r>
        <w:r w:rsidR="00CB4CF6">
          <w:rPr>
            <w:noProof/>
            <w:webHidden/>
          </w:rPr>
        </w:r>
        <w:r w:rsidR="00CB4CF6">
          <w:rPr>
            <w:noProof/>
            <w:webHidden/>
          </w:rPr>
          <w:fldChar w:fldCharType="separate"/>
        </w:r>
        <w:r w:rsidR="00CB4CF6">
          <w:rPr>
            <w:noProof/>
            <w:webHidden/>
          </w:rPr>
          <w:t>76</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33" w:history="1">
        <w:r w:rsidR="00CB4CF6" w:rsidRPr="00926A30">
          <w:rPr>
            <w:rStyle w:val="Hipervnculo"/>
            <w:rFonts w:ascii="Times New Roman" w:hAnsi="Times New Roman" w:cs="Times New Roman"/>
            <w:b/>
            <w:noProof/>
          </w:rPr>
          <w:t xml:space="preserve">ANEXO 5. </w:t>
        </w:r>
        <w:r w:rsidR="00CB4CF6" w:rsidRPr="00926A30">
          <w:rPr>
            <w:rStyle w:val="Hipervnculo"/>
            <w:rFonts w:ascii="Times New Roman" w:hAnsi="Times New Roman" w:cs="Times New Roman"/>
            <w:noProof/>
          </w:rPr>
          <w:t>Concentración de biogás y metano diario a los 40 días de digestión.</w:t>
        </w:r>
        <w:r w:rsidR="00CB4CF6">
          <w:rPr>
            <w:noProof/>
            <w:webHidden/>
          </w:rPr>
          <w:tab/>
        </w:r>
        <w:r w:rsidR="00CB4CF6">
          <w:rPr>
            <w:noProof/>
            <w:webHidden/>
          </w:rPr>
          <w:fldChar w:fldCharType="begin"/>
        </w:r>
        <w:r w:rsidR="00CB4CF6">
          <w:rPr>
            <w:noProof/>
            <w:webHidden/>
          </w:rPr>
          <w:instrText xml:space="preserve"> PAGEREF _Toc9537933 \h </w:instrText>
        </w:r>
        <w:r w:rsidR="00CB4CF6">
          <w:rPr>
            <w:noProof/>
            <w:webHidden/>
          </w:rPr>
        </w:r>
        <w:r w:rsidR="00CB4CF6">
          <w:rPr>
            <w:noProof/>
            <w:webHidden/>
          </w:rPr>
          <w:fldChar w:fldCharType="separate"/>
        </w:r>
        <w:r w:rsidR="00CB4CF6">
          <w:rPr>
            <w:noProof/>
            <w:webHidden/>
          </w:rPr>
          <w:t>77</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34" w:history="1">
        <w:r w:rsidR="00CB4CF6" w:rsidRPr="00926A30">
          <w:rPr>
            <w:rStyle w:val="Hipervnculo"/>
            <w:rFonts w:ascii="Times New Roman" w:hAnsi="Times New Roman" w:cs="Times New Roman"/>
            <w:b/>
            <w:noProof/>
          </w:rPr>
          <w:t xml:space="preserve">ANEXO 6. </w:t>
        </w:r>
        <w:r w:rsidR="00CB4CF6" w:rsidRPr="00926A30">
          <w:rPr>
            <w:rStyle w:val="Hipervnculo"/>
            <w:rFonts w:ascii="Times New Roman" w:hAnsi="Times New Roman" w:cs="Times New Roman"/>
            <w:noProof/>
          </w:rPr>
          <w:t>Concentración de biogás y metano acumulado a los 40 días de digestión.</w:t>
        </w:r>
        <w:r w:rsidR="00CB4CF6">
          <w:rPr>
            <w:noProof/>
            <w:webHidden/>
          </w:rPr>
          <w:tab/>
        </w:r>
        <w:r w:rsidR="00CB4CF6">
          <w:rPr>
            <w:noProof/>
            <w:webHidden/>
          </w:rPr>
          <w:fldChar w:fldCharType="begin"/>
        </w:r>
        <w:r w:rsidR="00CB4CF6">
          <w:rPr>
            <w:noProof/>
            <w:webHidden/>
          </w:rPr>
          <w:instrText xml:space="preserve"> PAGEREF _Toc9537934 \h </w:instrText>
        </w:r>
        <w:r w:rsidR="00CB4CF6">
          <w:rPr>
            <w:noProof/>
            <w:webHidden/>
          </w:rPr>
        </w:r>
        <w:r w:rsidR="00CB4CF6">
          <w:rPr>
            <w:noProof/>
            <w:webHidden/>
          </w:rPr>
          <w:fldChar w:fldCharType="separate"/>
        </w:r>
        <w:r w:rsidR="00CB4CF6">
          <w:rPr>
            <w:noProof/>
            <w:webHidden/>
          </w:rPr>
          <w:t>80</w:t>
        </w:r>
        <w:r w:rsidR="00CB4CF6">
          <w:rPr>
            <w:noProof/>
            <w:webHidden/>
          </w:rPr>
          <w:fldChar w:fldCharType="end"/>
        </w:r>
      </w:hyperlink>
    </w:p>
    <w:p w:rsidR="00CB4CF6" w:rsidRDefault="000B7990">
      <w:pPr>
        <w:pStyle w:val="Tabladeilustraciones"/>
        <w:tabs>
          <w:tab w:val="right" w:pos="7927"/>
        </w:tabs>
        <w:rPr>
          <w:rFonts w:eastAsiaTheme="minorEastAsia"/>
          <w:smallCaps w:val="0"/>
          <w:noProof/>
          <w:sz w:val="22"/>
          <w:szCs w:val="22"/>
          <w:lang w:eastAsia="es-EC"/>
        </w:rPr>
      </w:pPr>
      <w:hyperlink w:anchor="_Toc9537935" w:history="1">
        <w:r w:rsidR="00CB4CF6" w:rsidRPr="00926A30">
          <w:rPr>
            <w:rStyle w:val="Hipervnculo"/>
            <w:rFonts w:ascii="Times New Roman" w:hAnsi="Times New Roman" w:cs="Times New Roman"/>
            <w:b/>
            <w:noProof/>
          </w:rPr>
          <w:t xml:space="preserve">ANEXO 7. </w:t>
        </w:r>
        <w:r w:rsidR="00CB4CF6" w:rsidRPr="00926A30">
          <w:rPr>
            <w:rStyle w:val="Hipervnculo"/>
            <w:rFonts w:ascii="Times New Roman" w:hAnsi="Times New Roman" w:cs="Times New Roman"/>
            <w:noProof/>
          </w:rPr>
          <w:t>Ajustes de los modelos cinéticos</w:t>
        </w:r>
        <w:r w:rsidR="00CB4CF6">
          <w:rPr>
            <w:noProof/>
            <w:webHidden/>
          </w:rPr>
          <w:tab/>
        </w:r>
        <w:r w:rsidR="00CB4CF6">
          <w:rPr>
            <w:noProof/>
            <w:webHidden/>
          </w:rPr>
          <w:fldChar w:fldCharType="begin"/>
        </w:r>
        <w:r w:rsidR="00CB4CF6">
          <w:rPr>
            <w:noProof/>
            <w:webHidden/>
          </w:rPr>
          <w:instrText xml:space="preserve"> PAGEREF _Toc9537935 \h </w:instrText>
        </w:r>
        <w:r w:rsidR="00CB4CF6">
          <w:rPr>
            <w:noProof/>
            <w:webHidden/>
          </w:rPr>
        </w:r>
        <w:r w:rsidR="00CB4CF6">
          <w:rPr>
            <w:noProof/>
            <w:webHidden/>
          </w:rPr>
          <w:fldChar w:fldCharType="separate"/>
        </w:r>
        <w:r w:rsidR="00CB4CF6">
          <w:rPr>
            <w:noProof/>
            <w:webHidden/>
          </w:rPr>
          <w:t>83</w:t>
        </w:r>
        <w:r w:rsidR="00CB4CF6">
          <w:rPr>
            <w:noProof/>
            <w:webHidden/>
          </w:rPr>
          <w:fldChar w:fldCharType="end"/>
        </w:r>
      </w:hyperlink>
    </w:p>
    <w:p w:rsidR="001B7ACB" w:rsidRDefault="00171726" w:rsidP="001B7ACB">
      <w:r>
        <w:fldChar w:fldCharType="end"/>
      </w:r>
    </w:p>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1B7ACB" w:rsidRDefault="001B7ACB" w:rsidP="001B7ACB"/>
    <w:p w:rsidR="00416C9D" w:rsidRPr="001B7ACB" w:rsidRDefault="00416C9D" w:rsidP="001B7ACB"/>
    <w:p w:rsidR="00083DC4" w:rsidRPr="00686018" w:rsidRDefault="00F56C72" w:rsidP="00A31608">
      <w:pPr>
        <w:pStyle w:val="Ttulo7"/>
        <w:spacing w:before="360" w:after="360"/>
        <w:jc w:val="both"/>
        <w:rPr>
          <w:rFonts w:cs="Times New Roman"/>
        </w:rPr>
      </w:pPr>
      <w:bookmarkStart w:id="13" w:name="_Toc9537770"/>
      <w:r w:rsidRPr="00686018">
        <w:rPr>
          <w:rFonts w:cs="Times New Roman"/>
          <w:sz w:val="28"/>
        </w:rPr>
        <w:lastRenderedPageBreak/>
        <w:t>RESUMEN</w:t>
      </w:r>
      <w:bookmarkEnd w:id="13"/>
      <w:r w:rsidRPr="00686018">
        <w:rPr>
          <w:rFonts w:cs="Times New Roman"/>
        </w:rPr>
        <w:tab/>
      </w:r>
    </w:p>
    <w:p w:rsidR="00AA4390" w:rsidRPr="00686018" w:rsidRDefault="00083DC4" w:rsidP="00A31608">
      <w:pPr>
        <w:jc w:val="both"/>
        <w:rPr>
          <w:rFonts w:ascii="Times New Roman" w:hAnsi="Times New Roman" w:cs="Times New Roman"/>
          <w:sz w:val="24"/>
          <w:lang w:eastAsia="es-EC"/>
        </w:rPr>
      </w:pPr>
      <w:r w:rsidRPr="00686018">
        <w:rPr>
          <w:rFonts w:ascii="Times New Roman" w:hAnsi="Times New Roman" w:cs="Times New Roman"/>
          <w:sz w:val="24"/>
        </w:rPr>
        <w:t>El trabajo de investigación</w:t>
      </w:r>
      <w:r w:rsidR="006A1A4E" w:rsidRPr="00686018">
        <w:rPr>
          <w:rFonts w:ascii="Times New Roman" w:hAnsi="Times New Roman" w:cs="Times New Roman"/>
          <w:sz w:val="24"/>
        </w:rPr>
        <w:t>;” Codigestión</w:t>
      </w:r>
      <w:r w:rsidRPr="00686018">
        <w:rPr>
          <w:rFonts w:ascii="Times New Roman" w:hAnsi="Times New Roman" w:cs="Times New Roman"/>
          <w:sz w:val="24"/>
        </w:rPr>
        <w:t xml:space="preserve"> anaerobia de residuo ruminal de vacas faenadas procedentes del camal municipal de Guaranda mediante la adición de paja de trigo (tallos) para la producción de biogás a escala de laboratorio”</w:t>
      </w:r>
      <w:r w:rsidR="00F64D3E" w:rsidRPr="00686018">
        <w:rPr>
          <w:rFonts w:ascii="Times New Roman" w:hAnsi="Times New Roman" w:cs="Times New Roman"/>
          <w:sz w:val="24"/>
        </w:rPr>
        <w:t xml:space="preserve"> </w:t>
      </w:r>
      <w:r w:rsidR="00E729A7" w:rsidRPr="00686018">
        <w:rPr>
          <w:rFonts w:ascii="Times New Roman" w:hAnsi="Times New Roman" w:cs="Times New Roman"/>
          <w:sz w:val="24"/>
        </w:rPr>
        <w:t>determinó la producción</w:t>
      </w:r>
      <w:r w:rsidR="006A1A4E" w:rsidRPr="00686018">
        <w:rPr>
          <w:rFonts w:ascii="Times New Roman" w:hAnsi="Times New Roman" w:cs="Times New Roman"/>
          <w:sz w:val="24"/>
        </w:rPr>
        <w:t xml:space="preserve"> acumulada de biogás y metano </w:t>
      </w:r>
      <w:r w:rsidR="00F64D3E" w:rsidRPr="00686018">
        <w:rPr>
          <w:rFonts w:ascii="Times New Roman" w:hAnsi="Times New Roman" w:cs="Times New Roman"/>
          <w:sz w:val="24"/>
        </w:rPr>
        <w:t>a concentraciones diferentes de inóculo y sustrato (I:S – 2:1, 1:1 y 1:2) y fracciones diferentes de residuo ruminal y paja de trigo (RE:TR –</w:t>
      </w:r>
      <w:r w:rsidR="00084E09" w:rsidRPr="00686018">
        <w:rPr>
          <w:rFonts w:ascii="Times New Roman" w:hAnsi="Times New Roman" w:cs="Times New Roman"/>
          <w:sz w:val="24"/>
        </w:rPr>
        <w:t xml:space="preserve"> 0:4, 1:3, 2:2, 3:1 y 4:0), indicando que el </w:t>
      </w:r>
      <w:r w:rsidR="0003468E" w:rsidRPr="00686018">
        <w:rPr>
          <w:rFonts w:ascii="Times New Roman" w:hAnsi="Times New Roman" w:cs="Times New Roman"/>
          <w:sz w:val="24"/>
        </w:rPr>
        <w:t>mayor rendimiento</w:t>
      </w:r>
      <w:r w:rsidR="002368F7" w:rsidRPr="00686018">
        <w:rPr>
          <w:rFonts w:ascii="Times New Roman" w:hAnsi="Times New Roman" w:cs="Times New Roman"/>
          <w:sz w:val="24"/>
        </w:rPr>
        <w:t xml:space="preserve"> </w:t>
      </w:r>
      <w:r w:rsidR="00E729A7" w:rsidRPr="00686018">
        <w:rPr>
          <w:rFonts w:ascii="Times New Roman" w:hAnsi="Times New Roman" w:cs="Times New Roman"/>
          <w:sz w:val="24"/>
        </w:rPr>
        <w:t xml:space="preserve">acumulado </w:t>
      </w:r>
      <w:r w:rsidR="002368F7" w:rsidRPr="00686018">
        <w:rPr>
          <w:rFonts w:ascii="Times New Roman" w:hAnsi="Times New Roman" w:cs="Times New Roman"/>
          <w:sz w:val="24"/>
        </w:rPr>
        <w:t xml:space="preserve">de </w:t>
      </w:r>
      <w:r w:rsidR="007527BB" w:rsidRPr="00686018">
        <w:rPr>
          <w:rFonts w:ascii="Times New Roman" w:hAnsi="Times New Roman" w:cs="Times New Roman"/>
          <w:sz w:val="24"/>
        </w:rPr>
        <w:t>biogás fue 502.903</w:t>
      </w:r>
      <w:r w:rsidR="00DD14D0">
        <w:rPr>
          <w:rFonts w:ascii="Times New Roman" w:hAnsi="Times New Roman" w:cs="Times New Roman"/>
          <w:sz w:val="24"/>
        </w:rPr>
        <w:t>mL</w:t>
      </w:r>
      <w:r w:rsidR="002368F7" w:rsidRPr="00686018">
        <w:rPr>
          <w:rFonts w:ascii="Times New Roman" w:hAnsi="Times New Roman" w:cs="Times New Roman"/>
          <w:sz w:val="24"/>
        </w:rPr>
        <w:t>biogás/g-SV</w:t>
      </w:r>
      <w:r w:rsidR="0003468E" w:rsidRPr="00686018">
        <w:rPr>
          <w:rFonts w:ascii="Times New Roman" w:hAnsi="Times New Roman" w:cs="Times New Roman"/>
          <w:sz w:val="24"/>
        </w:rPr>
        <w:t xml:space="preserve"> cuando la relación de</w:t>
      </w:r>
      <w:r w:rsidR="007527BB" w:rsidRPr="00686018">
        <w:rPr>
          <w:rFonts w:ascii="Times New Roman" w:hAnsi="Times New Roman" w:cs="Times New Roman"/>
          <w:sz w:val="24"/>
        </w:rPr>
        <w:t xml:space="preserve"> I:S fue 1:2 y la fracción de RE a TR fue 3:1; en comparación a  </w:t>
      </w:r>
      <w:r w:rsidR="002368F7" w:rsidRPr="00686018">
        <w:rPr>
          <w:rFonts w:ascii="Times New Roman" w:hAnsi="Times New Roman" w:cs="Times New Roman"/>
          <w:sz w:val="24"/>
        </w:rPr>
        <w:t xml:space="preserve">493.247 </w:t>
      </w:r>
      <w:r w:rsidR="00DD14D0">
        <w:rPr>
          <w:rFonts w:ascii="Times New Roman" w:hAnsi="Times New Roman" w:cs="Times New Roman"/>
          <w:sz w:val="24"/>
        </w:rPr>
        <w:t>mL</w:t>
      </w:r>
      <w:r w:rsidR="0039270E" w:rsidRPr="00686018">
        <w:rPr>
          <w:rFonts w:ascii="Times New Roman" w:hAnsi="Times New Roman" w:cs="Times New Roman"/>
          <w:sz w:val="24"/>
        </w:rPr>
        <w:t>biogás</w:t>
      </w:r>
      <w:r w:rsidR="002368F7" w:rsidRPr="00686018">
        <w:rPr>
          <w:rFonts w:ascii="Times New Roman" w:hAnsi="Times New Roman" w:cs="Times New Roman"/>
          <w:sz w:val="24"/>
        </w:rPr>
        <w:t xml:space="preserve">/g-SV y 460.891 </w:t>
      </w:r>
      <w:r w:rsidR="00DD14D0">
        <w:rPr>
          <w:rFonts w:ascii="Times New Roman" w:hAnsi="Times New Roman" w:cs="Times New Roman"/>
          <w:sz w:val="24"/>
        </w:rPr>
        <w:t>mL</w:t>
      </w:r>
      <w:r w:rsidR="0039270E" w:rsidRPr="00686018">
        <w:rPr>
          <w:rFonts w:ascii="Times New Roman" w:hAnsi="Times New Roman" w:cs="Times New Roman"/>
          <w:sz w:val="24"/>
        </w:rPr>
        <w:t>biogás</w:t>
      </w:r>
      <w:r w:rsidR="002368F7" w:rsidRPr="00686018">
        <w:rPr>
          <w:rFonts w:ascii="Times New Roman" w:hAnsi="Times New Roman" w:cs="Times New Roman"/>
          <w:sz w:val="24"/>
        </w:rPr>
        <w:t>/g-SV</w:t>
      </w:r>
      <w:r w:rsidR="00084E09" w:rsidRPr="00686018">
        <w:rPr>
          <w:rFonts w:ascii="Times New Roman" w:hAnsi="Times New Roman" w:cs="Times New Roman"/>
          <w:sz w:val="24"/>
        </w:rPr>
        <w:t xml:space="preserve"> correspondientes a una</w:t>
      </w:r>
      <w:r w:rsidR="007527BB" w:rsidRPr="00686018">
        <w:rPr>
          <w:rFonts w:ascii="Times New Roman" w:hAnsi="Times New Roman" w:cs="Times New Roman"/>
          <w:sz w:val="24"/>
        </w:rPr>
        <w:t xml:space="preserve"> </w:t>
      </w:r>
      <w:r w:rsidR="002368F7" w:rsidRPr="00686018">
        <w:rPr>
          <w:rFonts w:ascii="Times New Roman" w:hAnsi="Times New Roman" w:cs="Times New Roman"/>
          <w:sz w:val="24"/>
        </w:rPr>
        <w:t>relación I:S</w:t>
      </w:r>
      <w:r w:rsidR="00084E09" w:rsidRPr="00686018">
        <w:rPr>
          <w:rFonts w:ascii="Times New Roman" w:hAnsi="Times New Roman" w:cs="Times New Roman"/>
          <w:sz w:val="24"/>
        </w:rPr>
        <w:t xml:space="preserve"> de</w:t>
      </w:r>
      <w:r w:rsidR="007527BB" w:rsidRPr="00686018">
        <w:rPr>
          <w:rFonts w:ascii="Times New Roman" w:hAnsi="Times New Roman" w:cs="Times New Roman"/>
          <w:sz w:val="24"/>
        </w:rPr>
        <w:t xml:space="preserve"> </w:t>
      </w:r>
      <w:r w:rsidR="002368F7" w:rsidRPr="00686018">
        <w:rPr>
          <w:rFonts w:ascii="Times New Roman" w:hAnsi="Times New Roman" w:cs="Times New Roman"/>
          <w:sz w:val="24"/>
        </w:rPr>
        <w:t>1:2</w:t>
      </w:r>
      <w:r w:rsidR="007527BB" w:rsidRPr="00686018">
        <w:rPr>
          <w:rFonts w:ascii="Times New Roman" w:hAnsi="Times New Roman" w:cs="Times New Roman"/>
          <w:sz w:val="24"/>
        </w:rPr>
        <w:t xml:space="preserve"> y</w:t>
      </w:r>
      <w:r w:rsidR="00E729A7" w:rsidRPr="00686018">
        <w:rPr>
          <w:rFonts w:ascii="Times New Roman" w:hAnsi="Times New Roman" w:cs="Times New Roman"/>
          <w:sz w:val="24"/>
        </w:rPr>
        <w:t xml:space="preserve"> </w:t>
      </w:r>
      <w:r w:rsidR="002368F7" w:rsidRPr="00686018">
        <w:rPr>
          <w:rFonts w:ascii="Times New Roman" w:hAnsi="Times New Roman" w:cs="Times New Roman"/>
          <w:sz w:val="24"/>
        </w:rPr>
        <w:t xml:space="preserve">2:1 </w:t>
      </w:r>
      <w:r w:rsidR="00E729A7" w:rsidRPr="00686018">
        <w:rPr>
          <w:rFonts w:ascii="Times New Roman" w:hAnsi="Times New Roman" w:cs="Times New Roman"/>
          <w:sz w:val="24"/>
        </w:rPr>
        <w:t>respectivamente.</w:t>
      </w:r>
      <w:r w:rsidR="007527BB" w:rsidRPr="00686018">
        <w:rPr>
          <w:rFonts w:ascii="Times New Roman" w:hAnsi="Times New Roman" w:cs="Times New Roman"/>
          <w:sz w:val="24"/>
        </w:rPr>
        <w:t xml:space="preserve"> </w:t>
      </w:r>
      <w:r w:rsidR="00084E09" w:rsidRPr="00686018">
        <w:rPr>
          <w:rFonts w:ascii="Times New Roman" w:hAnsi="Times New Roman" w:cs="Times New Roman"/>
          <w:sz w:val="24"/>
        </w:rPr>
        <w:t>Así mismo, l</w:t>
      </w:r>
      <w:r w:rsidR="007527BB" w:rsidRPr="00686018">
        <w:rPr>
          <w:rFonts w:ascii="Times New Roman" w:hAnsi="Times New Roman" w:cs="Times New Roman"/>
          <w:sz w:val="24"/>
        </w:rPr>
        <w:t>a mayo</w:t>
      </w:r>
      <w:r w:rsidR="00D54393" w:rsidRPr="00686018">
        <w:rPr>
          <w:rFonts w:ascii="Times New Roman" w:hAnsi="Times New Roman" w:cs="Times New Roman"/>
          <w:sz w:val="24"/>
        </w:rPr>
        <w:t>r cantidad de metano</w:t>
      </w:r>
      <w:r w:rsidR="005135CD">
        <w:rPr>
          <w:rFonts w:ascii="Times New Roman" w:hAnsi="Times New Roman" w:cs="Times New Roman"/>
          <w:sz w:val="24"/>
        </w:rPr>
        <w:t xml:space="preserve"> acumulado (306.205</w:t>
      </w:r>
      <w:r w:rsidR="00DD14D0">
        <w:rPr>
          <w:rFonts w:ascii="Times New Roman" w:hAnsi="Times New Roman" w:cs="Times New Roman"/>
          <w:sz w:val="24"/>
        </w:rPr>
        <w:t>mL</w:t>
      </w:r>
      <w:r w:rsidR="00084E09" w:rsidRPr="00686018">
        <w:rPr>
          <w:rFonts w:ascii="Times New Roman" w:hAnsi="Times New Roman" w:cs="Times New Roman"/>
          <w:sz w:val="24"/>
        </w:rPr>
        <w:t xml:space="preserve">/g-SV) </w:t>
      </w:r>
      <w:r w:rsidR="00D54393" w:rsidRPr="00686018">
        <w:rPr>
          <w:rFonts w:ascii="Times New Roman" w:hAnsi="Times New Roman" w:cs="Times New Roman"/>
          <w:sz w:val="24"/>
        </w:rPr>
        <w:t xml:space="preserve">fue identificado cuando la concentración de I:S </w:t>
      </w:r>
      <w:r w:rsidR="00084E09" w:rsidRPr="00686018">
        <w:rPr>
          <w:rFonts w:ascii="Times New Roman" w:hAnsi="Times New Roman" w:cs="Times New Roman"/>
          <w:sz w:val="24"/>
        </w:rPr>
        <w:t>fue de</w:t>
      </w:r>
      <w:r w:rsidR="00D54393" w:rsidRPr="00686018">
        <w:rPr>
          <w:rFonts w:ascii="Times New Roman" w:hAnsi="Times New Roman" w:cs="Times New Roman"/>
          <w:sz w:val="24"/>
        </w:rPr>
        <w:t xml:space="preserve"> 2:1 con una  la fracción de RE a TR de </w:t>
      </w:r>
      <w:r w:rsidR="00AA4390" w:rsidRPr="00686018">
        <w:rPr>
          <w:rFonts w:ascii="Times New Roman" w:hAnsi="Times New Roman" w:cs="Times New Roman"/>
          <w:sz w:val="24"/>
        </w:rPr>
        <w:t>2:2</w:t>
      </w:r>
      <w:r w:rsidR="00D54393" w:rsidRPr="00686018">
        <w:rPr>
          <w:rFonts w:ascii="Times New Roman" w:hAnsi="Times New Roman" w:cs="Times New Roman"/>
          <w:sz w:val="24"/>
        </w:rPr>
        <w:t xml:space="preserve"> en comparación a I:S  de 1:2 y 1:1 los cuales reportaron valores de </w:t>
      </w:r>
      <w:r w:rsidR="00E729A7" w:rsidRPr="00686018">
        <w:rPr>
          <w:rFonts w:ascii="Times New Roman" w:hAnsi="Times New Roman" w:cs="Times New Roman"/>
          <w:sz w:val="24"/>
        </w:rPr>
        <w:t xml:space="preserve">289.078 </w:t>
      </w:r>
      <w:r w:rsidR="00DD14D0">
        <w:rPr>
          <w:rFonts w:ascii="Times New Roman" w:hAnsi="Times New Roman" w:cs="Times New Roman"/>
          <w:sz w:val="24"/>
        </w:rPr>
        <w:t>mL</w:t>
      </w:r>
      <w:r w:rsidR="00E729A7" w:rsidRPr="00686018">
        <w:rPr>
          <w:rFonts w:ascii="Times New Roman" w:hAnsi="Times New Roman" w:cs="Times New Roman"/>
          <w:sz w:val="24"/>
        </w:rPr>
        <w:t>CH4/g-SV</w:t>
      </w:r>
      <w:r w:rsidR="00C661B2" w:rsidRPr="00686018">
        <w:rPr>
          <w:rFonts w:ascii="Times New Roman" w:hAnsi="Times New Roman" w:cs="Times New Roman"/>
          <w:sz w:val="24"/>
        </w:rPr>
        <w:t xml:space="preserve"> y 272.836 </w:t>
      </w:r>
      <w:r w:rsidR="00DD14D0">
        <w:rPr>
          <w:rFonts w:ascii="Times New Roman" w:hAnsi="Times New Roman" w:cs="Times New Roman"/>
          <w:sz w:val="24"/>
        </w:rPr>
        <w:t>mL</w:t>
      </w:r>
      <w:r w:rsidR="00E729A7" w:rsidRPr="00686018">
        <w:rPr>
          <w:rFonts w:ascii="Times New Roman" w:hAnsi="Times New Roman" w:cs="Times New Roman"/>
          <w:sz w:val="24"/>
        </w:rPr>
        <w:t xml:space="preserve">CH4/g-SV </w:t>
      </w:r>
      <w:r w:rsidR="007527BB" w:rsidRPr="00686018">
        <w:rPr>
          <w:rFonts w:ascii="Times New Roman" w:hAnsi="Times New Roman" w:cs="Times New Roman"/>
          <w:sz w:val="24"/>
        </w:rPr>
        <w:t xml:space="preserve">respectivamente. </w:t>
      </w:r>
      <w:r w:rsidR="00AA4390" w:rsidRPr="00686018">
        <w:rPr>
          <w:rFonts w:ascii="Times New Roman" w:hAnsi="Times New Roman" w:cs="Times New Roman"/>
          <w:sz w:val="24"/>
        </w:rPr>
        <w:t xml:space="preserve">Durante la generación de metano </w:t>
      </w:r>
      <w:r w:rsidR="00AA4390" w:rsidRPr="00686018">
        <w:rPr>
          <w:rFonts w:ascii="Times New Roman" w:hAnsi="Times New Roman" w:cs="Times New Roman"/>
          <w:sz w:val="24"/>
          <w:lang w:eastAsia="es-EC"/>
        </w:rPr>
        <w:t xml:space="preserve">ocurrida en codigestión </w:t>
      </w:r>
      <w:r w:rsidR="00AA4390" w:rsidRPr="00686018">
        <w:rPr>
          <w:rFonts w:ascii="Times New Roman" w:hAnsi="Times New Roman" w:cs="Times New Roman"/>
          <w:sz w:val="24"/>
        </w:rPr>
        <w:t xml:space="preserve">hubo una </w:t>
      </w:r>
      <w:r w:rsidR="00AA4390" w:rsidRPr="00686018">
        <w:rPr>
          <w:rFonts w:ascii="Times New Roman" w:hAnsi="Times New Roman" w:cs="Times New Roman"/>
          <w:sz w:val="24"/>
          <w:lang w:eastAsia="es-EC"/>
        </w:rPr>
        <w:t>variación y efecto de la razón C/N de RE y TR sobre el RMA</w:t>
      </w:r>
      <w:r w:rsidR="00AA4390" w:rsidRPr="00686018">
        <w:rPr>
          <w:rFonts w:ascii="Times New Roman" w:hAnsi="Times New Roman" w:cs="Times New Roman"/>
          <w:lang w:eastAsia="es-EC"/>
        </w:rPr>
        <w:t xml:space="preserve">. </w:t>
      </w:r>
      <w:r w:rsidR="00AA4390" w:rsidRPr="00686018">
        <w:rPr>
          <w:rFonts w:ascii="Times New Roman" w:hAnsi="Times New Roman" w:cs="Times New Roman"/>
          <w:sz w:val="24"/>
          <w:lang w:eastAsia="es-EC"/>
        </w:rPr>
        <w:t>E</w:t>
      </w:r>
      <w:r w:rsidR="00F7205D" w:rsidRPr="00686018">
        <w:rPr>
          <w:rFonts w:ascii="Times New Roman" w:hAnsi="Times New Roman" w:cs="Times New Roman"/>
          <w:sz w:val="24"/>
          <w:lang w:eastAsia="es-EC"/>
        </w:rPr>
        <w:t>l RMA</w:t>
      </w:r>
      <w:r w:rsidR="00C661B2" w:rsidRPr="00686018">
        <w:rPr>
          <w:rFonts w:ascii="Times New Roman" w:hAnsi="Times New Roman" w:cs="Times New Roman"/>
          <w:sz w:val="24"/>
          <w:lang w:eastAsia="es-EC"/>
        </w:rPr>
        <w:t xml:space="preserve"> llega a un máximo de 306.</w:t>
      </w:r>
      <w:r w:rsidR="005135CD">
        <w:rPr>
          <w:rFonts w:ascii="Times New Roman" w:hAnsi="Times New Roman" w:cs="Times New Roman"/>
          <w:sz w:val="24"/>
          <w:lang w:eastAsia="es-EC"/>
        </w:rPr>
        <w:t>21, 272.84 y 289.08</w:t>
      </w:r>
      <w:r w:rsidR="00DD14D0">
        <w:rPr>
          <w:rFonts w:ascii="Times New Roman" w:eastAsia="Times New Roman" w:hAnsi="Times New Roman" w:cs="Times New Roman"/>
          <w:bCs/>
          <w:sz w:val="24"/>
          <w:lang w:eastAsia="es-EC"/>
        </w:rPr>
        <w:t>mL</w:t>
      </w:r>
      <w:r w:rsidR="00AA4390" w:rsidRPr="00686018">
        <w:rPr>
          <w:rFonts w:ascii="Times New Roman" w:eastAsia="Times New Roman" w:hAnsi="Times New Roman" w:cs="Times New Roman"/>
          <w:bCs/>
          <w:sz w:val="24"/>
          <w:lang w:eastAsia="es-EC"/>
        </w:rPr>
        <w:t>/g-SV</w:t>
      </w:r>
      <w:r w:rsidR="00AA4390" w:rsidRPr="00686018">
        <w:rPr>
          <w:rFonts w:ascii="Times New Roman" w:hAnsi="Times New Roman" w:cs="Times New Roman"/>
          <w:sz w:val="24"/>
          <w:lang w:eastAsia="es-EC"/>
        </w:rPr>
        <w:t xml:space="preserve"> cuando C/N </w:t>
      </w:r>
      <w:r w:rsidR="0039270E" w:rsidRPr="00686018">
        <w:rPr>
          <w:rFonts w:ascii="Times New Roman" w:hAnsi="Times New Roman" w:cs="Times New Roman"/>
          <w:sz w:val="24"/>
          <w:lang w:eastAsia="es-EC"/>
        </w:rPr>
        <w:t>fue</w:t>
      </w:r>
      <w:r w:rsidR="00AA4390" w:rsidRPr="00686018">
        <w:rPr>
          <w:rFonts w:ascii="Times New Roman" w:hAnsi="Times New Roman" w:cs="Times New Roman"/>
          <w:sz w:val="24"/>
          <w:lang w:eastAsia="es-EC"/>
        </w:rPr>
        <w:t xml:space="preserve"> 23.26,</w:t>
      </w:r>
      <w:r w:rsidR="00981D93" w:rsidRPr="00686018">
        <w:rPr>
          <w:rFonts w:ascii="Times New Roman" w:hAnsi="Times New Roman" w:cs="Times New Roman"/>
          <w:sz w:val="24"/>
          <w:lang w:eastAsia="es-EC"/>
        </w:rPr>
        <w:t xml:space="preserve"> 38.15 y 38.15 respectivamente, además, </w:t>
      </w:r>
      <w:r w:rsidR="00F7205D" w:rsidRPr="00686018">
        <w:rPr>
          <w:rFonts w:ascii="Times New Roman" w:hAnsi="Times New Roman" w:cs="Times New Roman"/>
          <w:sz w:val="24"/>
          <w:lang w:eastAsia="es-EC"/>
        </w:rPr>
        <w:t xml:space="preserve">el </w:t>
      </w:r>
      <w:r w:rsidR="00F7205D" w:rsidRPr="00686018">
        <w:rPr>
          <w:rFonts w:ascii="Times New Roman" w:hAnsi="Times New Roman" w:cs="Times New Roman"/>
          <w:sz w:val="24"/>
          <w:szCs w:val="24"/>
          <w:lang w:eastAsia="es-EC"/>
        </w:rPr>
        <w:t>índice de efecto sinérgico y biodegradabilidad</w:t>
      </w:r>
      <w:r w:rsidR="00981D93" w:rsidRPr="00686018">
        <w:rPr>
          <w:rFonts w:ascii="Times New Roman" w:hAnsi="Times New Roman" w:cs="Times New Roman"/>
          <w:sz w:val="24"/>
          <w:szCs w:val="24"/>
          <w:lang w:eastAsia="es-EC"/>
        </w:rPr>
        <w:t xml:space="preserve"> se ve afectado a </w:t>
      </w:r>
      <w:r w:rsidR="00F7205D" w:rsidRPr="00686018">
        <w:rPr>
          <w:rFonts w:ascii="Times New Roman" w:hAnsi="Times New Roman" w:cs="Times New Roman"/>
          <w:sz w:val="24"/>
          <w:szCs w:val="24"/>
          <w:lang w:eastAsia="es-EC"/>
        </w:rPr>
        <w:t>u</w:t>
      </w:r>
      <w:r w:rsidR="00F7205D" w:rsidRPr="00686018">
        <w:rPr>
          <w:rFonts w:ascii="Times New Roman" w:hAnsi="Times New Roman" w:cs="Times New Roman"/>
          <w:sz w:val="24"/>
          <w:lang w:eastAsia="es-EC"/>
        </w:rPr>
        <w:t xml:space="preserve">na mayor cantidad de inoculo en los digestores </w:t>
      </w:r>
      <w:r w:rsidR="00981D93" w:rsidRPr="00686018">
        <w:rPr>
          <w:rFonts w:ascii="Times New Roman" w:hAnsi="Times New Roman" w:cs="Times New Roman"/>
          <w:sz w:val="24"/>
          <w:lang w:eastAsia="es-EC"/>
        </w:rPr>
        <w:t xml:space="preserve">pues eleva el % de BD y por el contrario </w:t>
      </w:r>
      <w:r w:rsidR="00F7205D" w:rsidRPr="00686018">
        <w:rPr>
          <w:rFonts w:ascii="Times New Roman" w:hAnsi="Times New Roman" w:cs="Times New Roman"/>
          <w:sz w:val="24"/>
          <w:lang w:eastAsia="es-EC"/>
        </w:rPr>
        <w:t>el IES aumenta al reducir la fracción de inóculo y aumentar la fracción de sustrato; esto es característico del experimento a una razón I:S 1:2.</w:t>
      </w:r>
      <w:r w:rsidR="001E2D61" w:rsidRPr="00686018">
        <w:rPr>
          <w:rFonts w:ascii="Times New Roman" w:hAnsi="Times New Roman" w:cs="Times New Roman"/>
          <w:sz w:val="24"/>
          <w:lang w:eastAsia="es-EC"/>
        </w:rPr>
        <w:t xml:space="preserve"> El ajuste cinético </w:t>
      </w:r>
      <w:r w:rsidR="00981D93" w:rsidRPr="00686018">
        <w:rPr>
          <w:rFonts w:ascii="Times New Roman" w:hAnsi="Times New Roman" w:cs="Times New Roman"/>
          <w:sz w:val="24"/>
          <w:lang w:eastAsia="es-EC"/>
        </w:rPr>
        <w:t xml:space="preserve">para representar los datos experimentales </w:t>
      </w:r>
      <w:r w:rsidR="001E2D61" w:rsidRPr="00686018">
        <w:rPr>
          <w:rFonts w:ascii="Times New Roman" w:hAnsi="Times New Roman" w:cs="Times New Roman"/>
          <w:sz w:val="24"/>
          <w:lang w:eastAsia="es-EC"/>
        </w:rPr>
        <w:t>revela que el valor de</w:t>
      </w:r>
      <w:r w:rsidR="0003468E" w:rsidRPr="00686018">
        <w:rPr>
          <w:rFonts w:ascii="Times New Roman" w:hAnsi="Times New Roman" w:cs="Times New Roman"/>
          <w:sz w:val="24"/>
          <w:lang w:eastAsia="es-EC"/>
        </w:rPr>
        <w:t xml:space="preserve"> la</w:t>
      </w:r>
      <w:r w:rsidR="001E2D61" w:rsidRPr="00686018">
        <w:rPr>
          <w:rFonts w:ascii="Times New Roman" w:hAnsi="Times New Roman" w:cs="Times New Roman"/>
          <w:sz w:val="24"/>
          <w:lang w:eastAsia="es-EC"/>
        </w:rPr>
        <w:t xml:space="preserve"> raíz cuadrática media del error (RCME) más bajo estuvo en un rango de 3.835 a 11.505 y R</w:t>
      </w:r>
      <w:r w:rsidR="001E2D61" w:rsidRPr="00686018">
        <w:rPr>
          <w:rFonts w:ascii="Times New Roman" w:hAnsi="Times New Roman" w:cs="Times New Roman"/>
          <w:sz w:val="24"/>
          <w:vertAlign w:val="superscript"/>
          <w:lang w:eastAsia="es-EC"/>
        </w:rPr>
        <w:t>2</w:t>
      </w:r>
      <w:r w:rsidR="001E2D61" w:rsidRPr="00686018">
        <w:rPr>
          <w:rFonts w:ascii="Times New Roman" w:hAnsi="Times New Roman" w:cs="Times New Roman"/>
          <w:sz w:val="24"/>
          <w:lang w:eastAsia="es-EC"/>
        </w:rPr>
        <w:t xml:space="preserve"> de 0.973 a 0.997, cuando se usó el modelo modificado de Gompertz. Resultados similares se obtuvieron al emplear el modelo de Función de Transferencia mismo que presento valores de RCME de 5.377 a 9.300 y R</w:t>
      </w:r>
      <w:r w:rsidR="001E2D61" w:rsidRPr="00686018">
        <w:rPr>
          <w:rFonts w:ascii="Times New Roman" w:hAnsi="Times New Roman" w:cs="Times New Roman"/>
          <w:sz w:val="24"/>
          <w:vertAlign w:val="superscript"/>
          <w:lang w:eastAsia="es-EC"/>
        </w:rPr>
        <w:t>2</w:t>
      </w:r>
      <w:r w:rsidR="00981D93" w:rsidRPr="00686018">
        <w:rPr>
          <w:rFonts w:ascii="Times New Roman" w:hAnsi="Times New Roman" w:cs="Times New Roman"/>
          <w:sz w:val="24"/>
          <w:lang w:eastAsia="es-EC"/>
        </w:rPr>
        <w:t xml:space="preserve"> = 0.966 a 0.997</w:t>
      </w:r>
      <w:r w:rsidR="001E2D61" w:rsidRPr="00686018">
        <w:rPr>
          <w:rFonts w:ascii="Times New Roman" w:hAnsi="Times New Roman" w:cs="Times New Roman"/>
          <w:sz w:val="24"/>
          <w:lang w:eastAsia="es-EC"/>
        </w:rPr>
        <w:t>. Por otro lado, valores bajos de RCME de 4.104 a 12.989 y un rango de R</w:t>
      </w:r>
      <w:r w:rsidR="001E2D61" w:rsidRPr="00686018">
        <w:rPr>
          <w:rFonts w:ascii="Times New Roman" w:hAnsi="Times New Roman" w:cs="Times New Roman"/>
          <w:sz w:val="24"/>
          <w:vertAlign w:val="superscript"/>
          <w:lang w:eastAsia="es-EC"/>
        </w:rPr>
        <w:t>2</w:t>
      </w:r>
      <w:r w:rsidR="001E2D61" w:rsidRPr="00686018">
        <w:rPr>
          <w:rFonts w:ascii="Times New Roman" w:hAnsi="Times New Roman" w:cs="Times New Roman"/>
          <w:sz w:val="24"/>
          <w:lang w:eastAsia="es-EC"/>
        </w:rPr>
        <w:t xml:space="preserve"> de 0.950 a 0.997 fueron identificados cuando se empleó el modelo cinético de Primer orden, indicando que el modelo de primer orden es adecuado y proveer el parámetro K de manera precisa en comparación al modelo del Cono que presento valores bajos de R</w:t>
      </w:r>
      <w:r w:rsidR="001E2D61" w:rsidRPr="00686018">
        <w:rPr>
          <w:rFonts w:ascii="Times New Roman" w:hAnsi="Times New Roman" w:cs="Times New Roman"/>
          <w:sz w:val="24"/>
          <w:vertAlign w:val="superscript"/>
          <w:lang w:eastAsia="es-EC"/>
        </w:rPr>
        <w:t>2</w:t>
      </w:r>
      <w:r w:rsidR="001E2D61" w:rsidRPr="00686018">
        <w:rPr>
          <w:rFonts w:ascii="Times New Roman" w:hAnsi="Times New Roman" w:cs="Times New Roman"/>
          <w:sz w:val="24"/>
          <w:lang w:eastAsia="es-EC"/>
        </w:rPr>
        <w:t>.</w:t>
      </w:r>
    </w:p>
    <w:p w:rsidR="00122875" w:rsidRPr="00686018" w:rsidRDefault="00122875" w:rsidP="00A31608">
      <w:pPr>
        <w:jc w:val="both"/>
        <w:rPr>
          <w:rFonts w:ascii="Times New Roman" w:hAnsi="Times New Roman" w:cs="Times New Roman"/>
          <w:sz w:val="24"/>
          <w:lang w:eastAsia="es-EC"/>
        </w:rPr>
      </w:pPr>
    </w:p>
    <w:p w:rsidR="0003468E" w:rsidRPr="00C91303" w:rsidRDefault="0003468E" w:rsidP="00A31608">
      <w:pPr>
        <w:jc w:val="both"/>
        <w:rPr>
          <w:rFonts w:ascii="Times New Roman" w:hAnsi="Times New Roman" w:cs="Times New Roman"/>
          <w:sz w:val="24"/>
          <w:lang w:eastAsia="es-EC"/>
        </w:rPr>
      </w:pPr>
      <w:r w:rsidRPr="00C91303">
        <w:rPr>
          <w:rFonts w:ascii="Times New Roman" w:hAnsi="Times New Roman" w:cs="Times New Roman"/>
          <w:b/>
          <w:sz w:val="24"/>
          <w:lang w:eastAsia="es-EC"/>
        </w:rPr>
        <w:t>Palabras Clave:</w:t>
      </w:r>
      <w:r w:rsidR="00C91303">
        <w:rPr>
          <w:rFonts w:ascii="Times New Roman" w:hAnsi="Times New Roman" w:cs="Times New Roman"/>
          <w:sz w:val="24"/>
          <w:lang w:eastAsia="es-EC"/>
        </w:rPr>
        <w:t xml:space="preserve"> Digestión anaerobia, residuo ruminal,</w:t>
      </w:r>
      <w:r w:rsidR="00C91303" w:rsidRPr="00041790">
        <w:rPr>
          <w:rFonts w:ascii="Times New Roman" w:hAnsi="Times New Roman" w:cs="Times New Roman"/>
          <w:sz w:val="24"/>
          <w:lang w:eastAsia="es-EC"/>
        </w:rPr>
        <w:t xml:space="preserve"> biogás, biodegradabilidad.</w:t>
      </w:r>
    </w:p>
    <w:p w:rsidR="00AA4390" w:rsidRPr="00C91303" w:rsidRDefault="00AA4390" w:rsidP="00A31608">
      <w:pPr>
        <w:jc w:val="both"/>
        <w:rPr>
          <w:rFonts w:ascii="Times New Roman" w:hAnsi="Times New Roman" w:cs="Times New Roman"/>
          <w:sz w:val="24"/>
        </w:rPr>
      </w:pPr>
    </w:p>
    <w:p w:rsidR="00D54393" w:rsidRPr="00C91303" w:rsidRDefault="00D54393" w:rsidP="00A31608">
      <w:pPr>
        <w:jc w:val="both"/>
        <w:rPr>
          <w:rFonts w:ascii="Times New Roman" w:hAnsi="Times New Roman" w:cs="Times New Roman"/>
          <w:sz w:val="24"/>
        </w:rPr>
      </w:pPr>
    </w:p>
    <w:p w:rsidR="00F56C72" w:rsidRPr="00C91303" w:rsidRDefault="00F56C72" w:rsidP="00A31608">
      <w:pPr>
        <w:jc w:val="both"/>
        <w:rPr>
          <w:rFonts w:ascii="Times New Roman" w:hAnsi="Times New Roman" w:cs="Times New Roman"/>
        </w:rPr>
      </w:pPr>
    </w:p>
    <w:p w:rsidR="001E2D61" w:rsidRPr="00C91303" w:rsidRDefault="001E2D61" w:rsidP="00A31608">
      <w:pPr>
        <w:jc w:val="both"/>
        <w:rPr>
          <w:rFonts w:ascii="Times New Roman" w:hAnsi="Times New Roman" w:cs="Times New Roman"/>
        </w:rPr>
      </w:pPr>
    </w:p>
    <w:p w:rsidR="001E2D61" w:rsidRPr="00C91303" w:rsidRDefault="001E2D61" w:rsidP="00A31608">
      <w:pPr>
        <w:jc w:val="both"/>
        <w:rPr>
          <w:rFonts w:ascii="Times New Roman" w:hAnsi="Times New Roman" w:cs="Times New Roman"/>
        </w:rPr>
      </w:pPr>
    </w:p>
    <w:p w:rsidR="00416C9D" w:rsidRPr="00C91303" w:rsidRDefault="00416C9D" w:rsidP="00A31608">
      <w:pPr>
        <w:jc w:val="both"/>
        <w:rPr>
          <w:rFonts w:ascii="Times New Roman" w:hAnsi="Times New Roman" w:cs="Times New Roman"/>
        </w:rPr>
      </w:pPr>
    </w:p>
    <w:p w:rsidR="00F56C72" w:rsidRPr="00686018" w:rsidRDefault="00F56C72" w:rsidP="00A31608">
      <w:pPr>
        <w:pStyle w:val="Ttulo7"/>
        <w:jc w:val="both"/>
        <w:rPr>
          <w:rFonts w:cs="Times New Roman"/>
          <w:sz w:val="28"/>
          <w:lang w:val="en-US"/>
        </w:rPr>
      </w:pPr>
      <w:bookmarkStart w:id="14" w:name="_Toc9537771"/>
      <w:r w:rsidRPr="00686018">
        <w:rPr>
          <w:rFonts w:cs="Times New Roman"/>
          <w:sz w:val="28"/>
          <w:lang w:val="en-US"/>
        </w:rPr>
        <w:lastRenderedPageBreak/>
        <w:t>SUMMARY</w:t>
      </w:r>
      <w:bookmarkEnd w:id="14"/>
    </w:p>
    <w:p w:rsidR="0070546B" w:rsidRPr="00686018" w:rsidRDefault="0070546B" w:rsidP="00A31608">
      <w:pPr>
        <w:jc w:val="both"/>
        <w:rPr>
          <w:rFonts w:ascii="Times New Roman" w:hAnsi="Times New Roman" w:cs="Times New Roman"/>
          <w:lang w:val="en-US"/>
        </w:rPr>
      </w:pPr>
    </w:p>
    <w:p w:rsidR="00F56C72" w:rsidRDefault="007E0393" w:rsidP="00A31608">
      <w:pPr>
        <w:jc w:val="both"/>
        <w:rPr>
          <w:rFonts w:ascii="Times New Roman" w:hAnsi="Times New Roman" w:cs="Times New Roman"/>
          <w:sz w:val="24"/>
          <w:szCs w:val="24"/>
          <w:lang w:val="en-US"/>
        </w:rPr>
      </w:pPr>
      <w:r w:rsidRPr="00686018">
        <w:rPr>
          <w:rFonts w:ascii="Times New Roman" w:hAnsi="Times New Roman" w:cs="Times New Roman"/>
          <w:sz w:val="24"/>
          <w:szCs w:val="24"/>
          <w:lang w:val="en-US"/>
        </w:rPr>
        <w:t xml:space="preserve">The research work, "Anaerobic codigestion of ruminal waste from slaughtered cows from the municipal slaughterhouse of Guaranda by the addition of wheat straw (stems) for the production of biogas at laboratory scale" determined the accumulated production of biogas and methane at concentrations different inoculum and substrate (I: S - 2: 1, 1: 1 and 1: 2) and different fractions of ruminal residue and wheat straw (RE: TR - 0: 4, 1: 3, 2: 2, 3 : 1 and 4: 0), indicating that the highest </w:t>
      </w:r>
      <w:r w:rsidR="00C661B2" w:rsidRPr="00686018">
        <w:rPr>
          <w:rFonts w:ascii="Times New Roman" w:hAnsi="Times New Roman" w:cs="Times New Roman"/>
          <w:sz w:val="24"/>
          <w:szCs w:val="24"/>
          <w:lang w:val="en-US"/>
        </w:rPr>
        <w:t>cumulative biogas yield was 502.</w:t>
      </w:r>
      <w:r w:rsidRPr="00686018">
        <w:rPr>
          <w:rFonts w:ascii="Times New Roman" w:hAnsi="Times New Roman" w:cs="Times New Roman"/>
          <w:sz w:val="24"/>
          <w:szCs w:val="24"/>
          <w:lang w:val="en-US"/>
        </w:rPr>
        <w:t>903</w:t>
      </w:r>
      <w:r w:rsidR="00DD14D0">
        <w:rPr>
          <w:rFonts w:ascii="Times New Roman" w:hAnsi="Times New Roman" w:cs="Times New Roman"/>
          <w:sz w:val="24"/>
          <w:szCs w:val="24"/>
          <w:lang w:val="en-US"/>
        </w:rPr>
        <w:t>mL</w:t>
      </w:r>
      <w:r w:rsidRPr="00686018">
        <w:rPr>
          <w:rFonts w:ascii="Times New Roman" w:hAnsi="Times New Roman" w:cs="Times New Roman"/>
          <w:sz w:val="24"/>
          <w:szCs w:val="24"/>
          <w:lang w:val="en-US"/>
        </w:rPr>
        <w:t>biogas / g-SV when the ratio of I: S was 1: 2 and the fraction of RE to TR was 3: 1; in</w:t>
      </w:r>
      <w:r w:rsidR="005135CD">
        <w:rPr>
          <w:rFonts w:ascii="Times New Roman" w:hAnsi="Times New Roman" w:cs="Times New Roman"/>
          <w:sz w:val="24"/>
          <w:szCs w:val="24"/>
          <w:lang w:val="en-US"/>
        </w:rPr>
        <w:t xml:space="preserve"> comparison to 493.247</w:t>
      </w:r>
      <w:r w:rsidR="00DD14D0">
        <w:rPr>
          <w:rFonts w:ascii="Times New Roman" w:hAnsi="Times New Roman" w:cs="Times New Roman"/>
          <w:sz w:val="24"/>
          <w:szCs w:val="24"/>
          <w:lang w:val="en-US"/>
        </w:rPr>
        <w:t>mL</w:t>
      </w:r>
      <w:r w:rsidR="005135CD">
        <w:rPr>
          <w:rFonts w:ascii="Times New Roman" w:hAnsi="Times New Roman" w:cs="Times New Roman"/>
          <w:sz w:val="24"/>
          <w:szCs w:val="24"/>
          <w:lang w:val="en-US"/>
        </w:rPr>
        <w:t>biogas/g-SV and 460.891</w:t>
      </w:r>
      <w:r w:rsidR="00DD14D0">
        <w:rPr>
          <w:rFonts w:ascii="Times New Roman" w:hAnsi="Times New Roman" w:cs="Times New Roman"/>
          <w:sz w:val="24"/>
          <w:szCs w:val="24"/>
          <w:lang w:val="en-US"/>
        </w:rPr>
        <w:t>mL</w:t>
      </w:r>
      <w:r w:rsidR="00C661B2" w:rsidRPr="00686018">
        <w:rPr>
          <w:rFonts w:ascii="Times New Roman" w:hAnsi="Times New Roman" w:cs="Times New Roman"/>
          <w:sz w:val="24"/>
          <w:szCs w:val="24"/>
          <w:lang w:val="en-US"/>
        </w:rPr>
        <w:t>biogas/</w:t>
      </w:r>
      <w:r w:rsidRPr="00686018">
        <w:rPr>
          <w:rFonts w:ascii="Times New Roman" w:hAnsi="Times New Roman" w:cs="Times New Roman"/>
          <w:sz w:val="24"/>
          <w:szCs w:val="24"/>
          <w:lang w:val="en-US"/>
        </w:rPr>
        <w:t>g-SV corresponding to an I: S ratio of 1: 2 and 2: 1 respectively. Likewise, the highest amount of</w:t>
      </w:r>
      <w:r w:rsidR="00C661B2" w:rsidRPr="00686018">
        <w:rPr>
          <w:rFonts w:ascii="Times New Roman" w:hAnsi="Times New Roman" w:cs="Times New Roman"/>
          <w:sz w:val="24"/>
          <w:szCs w:val="24"/>
          <w:lang w:val="en-US"/>
        </w:rPr>
        <w:t xml:space="preserve"> methane accumulated (306.205 </w:t>
      </w:r>
      <w:r w:rsidR="00DD14D0">
        <w:rPr>
          <w:rFonts w:ascii="Times New Roman" w:hAnsi="Times New Roman" w:cs="Times New Roman"/>
          <w:sz w:val="24"/>
          <w:szCs w:val="24"/>
          <w:lang w:val="en-US"/>
        </w:rPr>
        <w:t>mL</w:t>
      </w:r>
      <w:r w:rsidR="00C661B2" w:rsidRPr="00686018">
        <w:rPr>
          <w:rFonts w:ascii="Times New Roman" w:hAnsi="Times New Roman" w:cs="Times New Roman"/>
          <w:sz w:val="24"/>
          <w:szCs w:val="24"/>
          <w:lang w:val="en-US"/>
        </w:rPr>
        <w:t>/</w:t>
      </w:r>
      <w:r w:rsidRPr="00686018">
        <w:rPr>
          <w:rFonts w:ascii="Times New Roman" w:hAnsi="Times New Roman" w:cs="Times New Roman"/>
          <w:sz w:val="24"/>
          <w:szCs w:val="24"/>
          <w:lang w:val="en-US"/>
        </w:rPr>
        <w:t>g-SV) was identified when the concentration of I: S was 2: 1 with a fraction of RE to TR of 2: 2 compared to I: S of 1: 2 and 1: 1</w:t>
      </w:r>
      <w:r w:rsidR="00C661B2" w:rsidRPr="00686018">
        <w:rPr>
          <w:rFonts w:ascii="Times New Roman" w:hAnsi="Times New Roman" w:cs="Times New Roman"/>
          <w:sz w:val="24"/>
          <w:szCs w:val="24"/>
          <w:lang w:val="en-US"/>
        </w:rPr>
        <w:t xml:space="preserve"> which reported values ​​of 289.078 </w:t>
      </w:r>
      <w:r w:rsidR="00DD14D0">
        <w:rPr>
          <w:rFonts w:ascii="Times New Roman" w:hAnsi="Times New Roman" w:cs="Times New Roman"/>
          <w:sz w:val="24"/>
          <w:szCs w:val="24"/>
          <w:lang w:val="en-US"/>
        </w:rPr>
        <w:t>mL</w:t>
      </w:r>
      <w:r w:rsidR="00C661B2" w:rsidRPr="00686018">
        <w:rPr>
          <w:rFonts w:ascii="Times New Roman" w:hAnsi="Times New Roman" w:cs="Times New Roman"/>
          <w:sz w:val="24"/>
          <w:szCs w:val="24"/>
          <w:lang w:val="en-US"/>
        </w:rPr>
        <w:t xml:space="preserve">CH4/g-SV and 272.836 </w:t>
      </w:r>
      <w:r w:rsidR="00DD14D0">
        <w:rPr>
          <w:rFonts w:ascii="Times New Roman" w:hAnsi="Times New Roman" w:cs="Times New Roman"/>
          <w:sz w:val="24"/>
          <w:szCs w:val="24"/>
          <w:lang w:val="en-US"/>
        </w:rPr>
        <w:t>mL</w:t>
      </w:r>
      <w:r w:rsidRPr="00686018">
        <w:rPr>
          <w:rFonts w:ascii="Times New Roman" w:hAnsi="Times New Roman" w:cs="Times New Roman"/>
          <w:sz w:val="24"/>
          <w:szCs w:val="24"/>
          <w:lang w:val="en-US"/>
        </w:rPr>
        <w:t>CH4</w:t>
      </w:r>
      <w:r w:rsidR="00C661B2" w:rsidRPr="00686018">
        <w:rPr>
          <w:rFonts w:ascii="Times New Roman" w:hAnsi="Times New Roman" w:cs="Times New Roman"/>
          <w:sz w:val="24"/>
          <w:szCs w:val="24"/>
          <w:lang w:val="en-US"/>
        </w:rPr>
        <w:t>/</w:t>
      </w:r>
      <w:r w:rsidRPr="00686018">
        <w:rPr>
          <w:rFonts w:ascii="Times New Roman" w:hAnsi="Times New Roman" w:cs="Times New Roman"/>
          <w:sz w:val="24"/>
          <w:szCs w:val="24"/>
          <w:lang w:val="en-US"/>
        </w:rPr>
        <w:t>g-SV respectively. During the methane generation occurred in codigestion there was a variation and</w:t>
      </w:r>
      <w:r w:rsidR="00C661B2" w:rsidRPr="00686018">
        <w:rPr>
          <w:rFonts w:ascii="Times New Roman" w:hAnsi="Times New Roman" w:cs="Times New Roman"/>
          <w:sz w:val="24"/>
          <w:szCs w:val="24"/>
          <w:lang w:val="en-US"/>
        </w:rPr>
        <w:t xml:space="preserve"> effect of the C/</w:t>
      </w:r>
      <w:r w:rsidRPr="00686018">
        <w:rPr>
          <w:rFonts w:ascii="Times New Roman" w:hAnsi="Times New Roman" w:cs="Times New Roman"/>
          <w:sz w:val="24"/>
          <w:szCs w:val="24"/>
          <w:lang w:val="en-US"/>
        </w:rPr>
        <w:t xml:space="preserve">N ratio of RE and TR over the RMA. The RMA reaches a maximum </w:t>
      </w:r>
      <w:r w:rsidR="00C661B2" w:rsidRPr="00686018">
        <w:rPr>
          <w:rFonts w:ascii="Times New Roman" w:hAnsi="Times New Roman" w:cs="Times New Roman"/>
          <w:sz w:val="24"/>
          <w:szCs w:val="24"/>
          <w:lang w:val="en-US"/>
        </w:rPr>
        <w:t xml:space="preserve">of 306.21, 272.84 and 289.08 </w:t>
      </w:r>
      <w:r w:rsidR="00DD14D0">
        <w:rPr>
          <w:rFonts w:ascii="Times New Roman" w:hAnsi="Times New Roman" w:cs="Times New Roman"/>
          <w:sz w:val="24"/>
          <w:szCs w:val="24"/>
          <w:lang w:val="en-US"/>
        </w:rPr>
        <w:t>mL</w:t>
      </w:r>
      <w:r w:rsidR="00C661B2" w:rsidRPr="00686018">
        <w:rPr>
          <w:rFonts w:ascii="Times New Roman" w:hAnsi="Times New Roman" w:cs="Times New Roman"/>
          <w:sz w:val="24"/>
          <w:szCs w:val="24"/>
          <w:lang w:val="en-US"/>
        </w:rPr>
        <w:t>/g-SV when C/</w:t>
      </w:r>
      <w:r w:rsidRPr="00686018">
        <w:rPr>
          <w:rFonts w:ascii="Times New Roman" w:hAnsi="Times New Roman" w:cs="Times New Roman"/>
          <w:sz w:val="24"/>
          <w:szCs w:val="24"/>
          <w:lang w:val="en-US"/>
        </w:rPr>
        <w:t>N was 23.26, 38.15 and 38.15 respectively, in addition, the rate of synergistic effect and biodegradability is affected to a greater amount of inoculum in the digesters because it increases the% of BD and on the contrary the IES increases when reducing the inoculum fraction and increasing the substrate fraction; this is characteristic of the experiment at a ratio I: S 1: 2. The kinetic fit to represent the experimental data reveals that the value of the root mean square root of the error (RCME) was lower in a range of 3.835 to 11.505 and R</w:t>
      </w:r>
      <w:r w:rsidRPr="00686018">
        <w:rPr>
          <w:rFonts w:ascii="Times New Roman" w:hAnsi="Times New Roman" w:cs="Times New Roman"/>
          <w:sz w:val="24"/>
          <w:szCs w:val="24"/>
          <w:vertAlign w:val="superscript"/>
          <w:lang w:val="en-US"/>
        </w:rPr>
        <w:t>2</w:t>
      </w:r>
      <w:r w:rsidRPr="00686018">
        <w:rPr>
          <w:rFonts w:ascii="Times New Roman" w:hAnsi="Times New Roman" w:cs="Times New Roman"/>
          <w:sz w:val="24"/>
          <w:szCs w:val="24"/>
          <w:lang w:val="en-US"/>
        </w:rPr>
        <w:t xml:space="preserve"> from 0.973 to 0.997, when the modified Gompertz model was used. Similar results were obtained when using the same Transfer Function model that presented RCME values ​​of 5.377 to 9.300 and R</w:t>
      </w:r>
      <w:r w:rsidRPr="00686018">
        <w:rPr>
          <w:rFonts w:ascii="Times New Roman" w:hAnsi="Times New Roman" w:cs="Times New Roman"/>
          <w:sz w:val="24"/>
          <w:szCs w:val="24"/>
          <w:vertAlign w:val="superscript"/>
          <w:lang w:val="en-US"/>
        </w:rPr>
        <w:t>2</w:t>
      </w:r>
      <w:r w:rsidRPr="00686018">
        <w:rPr>
          <w:rFonts w:ascii="Times New Roman" w:hAnsi="Times New Roman" w:cs="Times New Roman"/>
          <w:sz w:val="24"/>
          <w:szCs w:val="24"/>
          <w:lang w:val="en-US"/>
        </w:rPr>
        <w:t xml:space="preserve"> = 0.966 to 0.997. On the other hand, low RCME values ​​of 4.104 to 12.989 and a range of R</w:t>
      </w:r>
      <w:r w:rsidRPr="00686018">
        <w:rPr>
          <w:rFonts w:ascii="Times New Roman" w:hAnsi="Times New Roman" w:cs="Times New Roman"/>
          <w:sz w:val="24"/>
          <w:szCs w:val="24"/>
          <w:vertAlign w:val="superscript"/>
          <w:lang w:val="en-US"/>
        </w:rPr>
        <w:t>2</w:t>
      </w:r>
      <w:r w:rsidRPr="00686018">
        <w:rPr>
          <w:rFonts w:ascii="Times New Roman" w:hAnsi="Times New Roman" w:cs="Times New Roman"/>
          <w:sz w:val="24"/>
          <w:szCs w:val="24"/>
          <w:lang w:val="en-US"/>
        </w:rPr>
        <w:t xml:space="preserve"> from 0.950 to 0.997 were identified when the first order kinetic model was used, indicating that the first order model is adequate and providing the K parameter accurately. in comparison to the Cone model that presented low values ​​of R</w:t>
      </w:r>
      <w:r w:rsidRPr="00686018">
        <w:rPr>
          <w:rFonts w:ascii="Times New Roman" w:hAnsi="Times New Roman" w:cs="Times New Roman"/>
          <w:sz w:val="24"/>
          <w:szCs w:val="24"/>
          <w:vertAlign w:val="superscript"/>
          <w:lang w:val="en-US"/>
        </w:rPr>
        <w:t>2</w:t>
      </w:r>
      <w:r w:rsidRPr="00686018">
        <w:rPr>
          <w:rFonts w:ascii="Times New Roman" w:hAnsi="Times New Roman" w:cs="Times New Roman"/>
          <w:sz w:val="24"/>
          <w:szCs w:val="24"/>
          <w:lang w:val="en-US"/>
        </w:rPr>
        <w:t>.</w:t>
      </w:r>
    </w:p>
    <w:p w:rsidR="00C91303" w:rsidRPr="00686018" w:rsidRDefault="00C91303" w:rsidP="00A31608">
      <w:pPr>
        <w:jc w:val="both"/>
        <w:rPr>
          <w:rFonts w:ascii="Times New Roman" w:hAnsi="Times New Roman" w:cs="Times New Roman"/>
          <w:sz w:val="24"/>
          <w:szCs w:val="24"/>
          <w:lang w:val="en-US"/>
        </w:rPr>
      </w:pPr>
    </w:p>
    <w:p w:rsidR="00F56C72" w:rsidRPr="00C91303" w:rsidRDefault="007E0393" w:rsidP="00A31608">
      <w:pPr>
        <w:jc w:val="both"/>
        <w:rPr>
          <w:rFonts w:ascii="Times New Roman" w:hAnsi="Times New Roman" w:cs="Times New Roman"/>
          <w:b/>
          <w:sz w:val="24"/>
          <w:szCs w:val="24"/>
          <w:lang w:val="en-US"/>
        </w:rPr>
      </w:pPr>
      <w:r w:rsidRPr="00C91303">
        <w:rPr>
          <w:rFonts w:ascii="Times New Roman" w:hAnsi="Times New Roman" w:cs="Times New Roman"/>
          <w:b/>
          <w:sz w:val="24"/>
          <w:szCs w:val="24"/>
          <w:lang w:val="en-US"/>
        </w:rPr>
        <w:t xml:space="preserve">Keywords: </w:t>
      </w:r>
      <w:r w:rsidRPr="00C91303">
        <w:rPr>
          <w:rFonts w:ascii="Times New Roman" w:hAnsi="Times New Roman" w:cs="Times New Roman"/>
          <w:sz w:val="24"/>
          <w:szCs w:val="24"/>
          <w:lang w:val="en-US"/>
        </w:rPr>
        <w:t>Anaerobic digestion</w:t>
      </w:r>
      <w:r w:rsidR="00C91303">
        <w:rPr>
          <w:rFonts w:ascii="Times New Roman" w:hAnsi="Times New Roman" w:cs="Times New Roman"/>
          <w:b/>
          <w:sz w:val="24"/>
          <w:szCs w:val="24"/>
          <w:lang w:val="en-US"/>
        </w:rPr>
        <w:t xml:space="preserve">, </w:t>
      </w:r>
      <w:r w:rsidR="000F5396" w:rsidRPr="000F5396">
        <w:rPr>
          <w:rFonts w:ascii="Times New Roman" w:hAnsi="Times New Roman" w:cs="Times New Roman"/>
          <w:sz w:val="24"/>
          <w:szCs w:val="24"/>
          <w:lang w:val="en-US"/>
        </w:rPr>
        <w:t>ruminal residue,</w:t>
      </w:r>
      <w:r w:rsidR="000F5396">
        <w:rPr>
          <w:rFonts w:ascii="Times New Roman" w:hAnsi="Times New Roman" w:cs="Times New Roman"/>
          <w:b/>
          <w:sz w:val="24"/>
          <w:szCs w:val="24"/>
          <w:lang w:val="en-US"/>
        </w:rPr>
        <w:t xml:space="preserve"> </w:t>
      </w:r>
      <w:r w:rsidR="00C91303" w:rsidRPr="00C91303">
        <w:rPr>
          <w:rFonts w:ascii="Times New Roman" w:hAnsi="Times New Roman" w:cs="Times New Roman"/>
          <w:sz w:val="24"/>
          <w:szCs w:val="24"/>
          <w:lang w:val="en-US"/>
        </w:rPr>
        <w:t>biogas, biodegradability.</w:t>
      </w:r>
    </w:p>
    <w:p w:rsidR="00F56C72" w:rsidRPr="00C91303" w:rsidRDefault="00F56C72" w:rsidP="00A31608">
      <w:pPr>
        <w:jc w:val="both"/>
        <w:rPr>
          <w:rFonts w:ascii="Times New Roman" w:hAnsi="Times New Roman" w:cs="Times New Roman"/>
          <w:b/>
          <w:sz w:val="24"/>
          <w:szCs w:val="24"/>
          <w:lang w:val="en-US"/>
        </w:rPr>
      </w:pPr>
    </w:p>
    <w:p w:rsidR="00F56C72" w:rsidRPr="00C91303" w:rsidRDefault="00F56C72" w:rsidP="00A31608">
      <w:pPr>
        <w:jc w:val="both"/>
        <w:rPr>
          <w:rFonts w:ascii="Times New Roman" w:hAnsi="Times New Roman" w:cs="Times New Roman"/>
          <w:b/>
          <w:sz w:val="24"/>
          <w:szCs w:val="24"/>
          <w:lang w:val="en-US"/>
        </w:rPr>
      </w:pPr>
    </w:p>
    <w:p w:rsidR="00F56C72" w:rsidRPr="00C91303" w:rsidRDefault="00F56C72" w:rsidP="00A31608">
      <w:pPr>
        <w:jc w:val="both"/>
        <w:rPr>
          <w:rFonts w:ascii="Times New Roman" w:hAnsi="Times New Roman" w:cs="Times New Roman"/>
          <w:b/>
          <w:sz w:val="24"/>
          <w:szCs w:val="24"/>
          <w:lang w:val="en-US"/>
        </w:rPr>
      </w:pPr>
    </w:p>
    <w:p w:rsidR="00F56C72" w:rsidRPr="00C91303" w:rsidRDefault="00F56C72" w:rsidP="00A31608">
      <w:pPr>
        <w:jc w:val="both"/>
        <w:rPr>
          <w:rFonts w:ascii="Times New Roman" w:hAnsi="Times New Roman" w:cs="Times New Roman"/>
          <w:b/>
          <w:sz w:val="24"/>
          <w:szCs w:val="24"/>
          <w:lang w:val="en-US"/>
        </w:rPr>
      </w:pPr>
    </w:p>
    <w:p w:rsidR="00F954BD" w:rsidRPr="00C91303" w:rsidRDefault="00F954BD" w:rsidP="00A31608">
      <w:pPr>
        <w:pStyle w:val="Ttulo1"/>
        <w:jc w:val="both"/>
        <w:rPr>
          <w:rFonts w:cs="Times New Roman"/>
          <w:lang w:val="en-US"/>
        </w:rPr>
        <w:sectPr w:rsidR="00F954BD" w:rsidRPr="00C91303" w:rsidSect="00416C9D">
          <w:footerReference w:type="default" r:id="rId11"/>
          <w:type w:val="continuous"/>
          <w:pgSz w:w="11906" w:h="16838" w:code="9"/>
          <w:pgMar w:top="1701" w:right="1701" w:bottom="1701" w:left="2268" w:header="709" w:footer="709" w:gutter="0"/>
          <w:pgNumType w:fmt="upperRoman" w:start="3"/>
          <w:cols w:space="708"/>
          <w:docGrid w:linePitch="360"/>
        </w:sectPr>
      </w:pPr>
      <w:bookmarkStart w:id="15" w:name="_Toc534724620"/>
      <w:bookmarkStart w:id="16" w:name="_Toc534817227"/>
      <w:bookmarkStart w:id="17" w:name="_Toc534817410"/>
      <w:bookmarkStart w:id="18" w:name="_Toc534817717"/>
      <w:bookmarkStart w:id="19" w:name="_Toc535410420"/>
      <w:bookmarkStart w:id="20" w:name="_Toc535410486"/>
    </w:p>
    <w:p w:rsidR="00353593" w:rsidRPr="00686018" w:rsidRDefault="003538F6" w:rsidP="00A31608">
      <w:pPr>
        <w:pStyle w:val="Ttulo1"/>
        <w:jc w:val="both"/>
        <w:rPr>
          <w:rFonts w:cs="Times New Roman"/>
        </w:rPr>
      </w:pPr>
      <w:bookmarkStart w:id="21" w:name="_Toc9537772"/>
      <w:r w:rsidRPr="00686018">
        <w:rPr>
          <w:rFonts w:cs="Times New Roman"/>
        </w:rPr>
        <w:lastRenderedPageBreak/>
        <w:t>CAPITULO I</w:t>
      </w:r>
      <w:bookmarkEnd w:id="15"/>
      <w:bookmarkEnd w:id="16"/>
      <w:bookmarkEnd w:id="17"/>
      <w:bookmarkEnd w:id="18"/>
      <w:bookmarkEnd w:id="19"/>
      <w:bookmarkEnd w:id="20"/>
      <w:bookmarkEnd w:id="21"/>
    </w:p>
    <w:p w:rsidR="00E8471B" w:rsidRPr="00686018" w:rsidRDefault="006F7B01" w:rsidP="00A31608">
      <w:pPr>
        <w:pStyle w:val="Ttulo2"/>
        <w:numPr>
          <w:ilvl w:val="0"/>
          <w:numId w:val="4"/>
        </w:numPr>
        <w:jc w:val="both"/>
        <w:rPr>
          <w:rFonts w:cs="Times New Roman"/>
        </w:rPr>
      </w:pPr>
      <w:bookmarkStart w:id="22" w:name="_Toc534817228"/>
      <w:bookmarkStart w:id="23" w:name="_Toc534817411"/>
      <w:bookmarkStart w:id="24" w:name="_Toc534817718"/>
      <w:bookmarkStart w:id="25" w:name="_Toc535410421"/>
      <w:bookmarkStart w:id="26" w:name="_Toc535410487"/>
      <w:bookmarkStart w:id="27" w:name="_Toc9537773"/>
      <w:r w:rsidRPr="00686018">
        <w:rPr>
          <w:rFonts w:cs="Times New Roman"/>
        </w:rPr>
        <w:t>INTRODUCCIÓ</w:t>
      </w:r>
      <w:r w:rsidR="00E8471B" w:rsidRPr="00686018">
        <w:rPr>
          <w:rFonts w:cs="Times New Roman"/>
        </w:rPr>
        <w:t>N</w:t>
      </w:r>
      <w:bookmarkEnd w:id="22"/>
      <w:bookmarkEnd w:id="23"/>
      <w:bookmarkEnd w:id="24"/>
      <w:bookmarkEnd w:id="25"/>
      <w:bookmarkEnd w:id="26"/>
      <w:bookmarkEnd w:id="27"/>
      <w:r w:rsidR="00DF46F4" w:rsidRPr="00686018">
        <w:rPr>
          <w:rFonts w:cs="Times New Roman"/>
        </w:rPr>
        <w:t xml:space="preserve"> </w:t>
      </w:r>
    </w:p>
    <w:p w:rsidR="00C433E6" w:rsidRPr="00686018" w:rsidRDefault="00232822"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t xml:space="preserve">La digestión anaerobia </w:t>
      </w:r>
      <w:r w:rsidR="002F35DF" w:rsidRPr="00686018">
        <w:rPr>
          <w:rFonts w:ascii="Times New Roman" w:hAnsi="Times New Roman" w:cs="Times New Roman"/>
          <w:sz w:val="24"/>
          <w:szCs w:val="24"/>
        </w:rPr>
        <w:t>se caracteriza por ser una reacción en donde, se produce biogás a partir de materia biodegradable bajo condiciones anaerobias.  H</w:t>
      </w:r>
      <w:r w:rsidRPr="00686018">
        <w:rPr>
          <w:rFonts w:ascii="Times New Roman" w:hAnsi="Times New Roman" w:cs="Times New Roman"/>
          <w:sz w:val="24"/>
          <w:szCs w:val="24"/>
        </w:rPr>
        <w:t>a sido muy usada como un método para proveer energía especialmente en países asiáticos, tales como: China (líder en la producción de bio</w:t>
      </w:r>
      <w:r w:rsidR="00976D5E">
        <w:rPr>
          <w:rFonts w:ascii="Times New Roman" w:hAnsi="Times New Roman" w:cs="Times New Roman"/>
          <w:sz w:val="24"/>
          <w:szCs w:val="24"/>
        </w:rPr>
        <w:t xml:space="preserve">gás), India y países del África </w:t>
      </w:r>
      <w:r w:rsidR="00976D5E">
        <w:rPr>
          <w:rFonts w:ascii="Times New Roman" w:hAnsi="Times New Roman" w:cs="Times New Roman"/>
          <w:sz w:val="24"/>
          <w:szCs w:val="24"/>
        </w:rPr>
        <w:fldChar w:fldCharType="begin" w:fldLock="1"/>
      </w:r>
      <w:r w:rsidR="00976D5E">
        <w:rPr>
          <w:rFonts w:ascii="Times New Roman" w:hAnsi="Times New Roman" w:cs="Times New Roman"/>
          <w:sz w:val="24"/>
          <w:szCs w:val="24"/>
        </w:rPr>
        <w:instrText>ADDIN CSL_CITATION {"citationItems":[{"id":"ITEM-1","itemData":{"DOI":"10.1016/j.esd.2011.09.003","ISSN":"09730826","abstract":"Technologies which recover biogas do so by harnessing anaerobic degradation pathways controlled by a suite of microorganisms. The biogas released acts as an environmentally sustainable energy source, while providing a method for disposal of various wastes. Biogas contains 50-70% methane and 30-50% carbon dioxide, as well as small amounts of other gases and typically has a calorific value of 21-24 MJ/m3. Various appliances can be fuelled by biogas, with stoves offering an application appropriate for deployment in developing countries. Widespread dissemination of biogas digesters in developing countries stems from the 1970s and there are now around four and 27 million biogas plants in India and China respectively. These are typically small systems in rural areas fed by animal manure. However, in many other countries technology spread has foundered and/or up to 50% of plants are non-functional. This is linked to inadequate emphasis on maintenance and repair of existing facilities. Hence for biogas recovery technology to thrive in the future, operational support networks need to be established. There appear to be opportunities for biogas stoves to contribute to projects introducing cleaner cookstoves, such as the Global Alliance for Clean Cookstoves. Beyond this, there remains potential for domestic plants to utilise currently underexploited biogas substrates such as kitchen waste, weeds and crop residues. Thus there is a need for research into reactors and processes which enable efficient anaerobic biodegradation of these resources. © 2011 International Energy Initiative.","author":[{"dropping-particle":"","family":"Bond","given":"Tom","non-dropping-particle":"","parse-names":false,"suffix":""},{"dropping-particle":"","family":"Templeton","given":"Michael R.","non-dropping-particle":"","parse-names":false,"suffix":""}],"container-title":"Energy for Sustainable Development","id":"ITEM-1","issue":"4","issued":{"date-parts":[["2011"]]},"page":"347-354","publisher":"International Energy Initiative","title":"History and future of domestic biogas plants in the developing world","type":"article-journal","volume":"15"},"uris":["http://www.mendeley.com/documents/?uuid=ee208dbe-8cb9-4038-8794-984c43bdcb92"]}],"mendeley":{"formattedCitation":"(Bond y Templeton 2011)","plainTextFormattedCitation":"(Bond y Templeton 2011)","previouslyFormattedCitation":"(Bond y Templeton 2011)"},"properties":{"noteIndex":0},"schema":"https://github.com/citation-style-language/schema/raw/master/csl-citation.json"}</w:instrText>
      </w:r>
      <w:r w:rsidR="00976D5E">
        <w:rPr>
          <w:rFonts w:ascii="Times New Roman" w:hAnsi="Times New Roman" w:cs="Times New Roman"/>
          <w:sz w:val="24"/>
          <w:szCs w:val="24"/>
        </w:rPr>
        <w:fldChar w:fldCharType="separate"/>
      </w:r>
      <w:r w:rsidR="00976D5E" w:rsidRPr="00976D5E">
        <w:rPr>
          <w:rFonts w:ascii="Times New Roman" w:hAnsi="Times New Roman" w:cs="Times New Roman"/>
          <w:noProof/>
          <w:sz w:val="24"/>
          <w:szCs w:val="24"/>
        </w:rPr>
        <w:t>(Bond y Templeton</w:t>
      </w:r>
      <w:r w:rsidR="00C80D09">
        <w:rPr>
          <w:rFonts w:ascii="Times New Roman" w:hAnsi="Times New Roman" w:cs="Times New Roman"/>
          <w:noProof/>
          <w:sz w:val="24"/>
          <w:szCs w:val="24"/>
        </w:rPr>
        <w:t>,</w:t>
      </w:r>
      <w:r w:rsidR="00976D5E" w:rsidRPr="00976D5E">
        <w:rPr>
          <w:rFonts w:ascii="Times New Roman" w:hAnsi="Times New Roman" w:cs="Times New Roman"/>
          <w:noProof/>
          <w:sz w:val="24"/>
          <w:szCs w:val="24"/>
        </w:rPr>
        <w:t xml:space="preserve"> 2011)</w:t>
      </w:r>
      <w:r w:rsidR="00976D5E">
        <w:rPr>
          <w:rFonts w:ascii="Times New Roman" w:hAnsi="Times New Roman" w:cs="Times New Roman"/>
          <w:sz w:val="24"/>
          <w:szCs w:val="24"/>
        </w:rPr>
        <w:fldChar w:fldCharType="end"/>
      </w:r>
      <w:r w:rsidR="0039406C" w:rsidRPr="00686018">
        <w:rPr>
          <w:rFonts w:ascii="Times New Roman" w:hAnsi="Times New Roman" w:cs="Times New Roman"/>
          <w:sz w:val="24"/>
          <w:szCs w:val="24"/>
        </w:rPr>
        <w:t xml:space="preserve">. </w:t>
      </w:r>
      <w:r w:rsidR="002F35DF" w:rsidRPr="00686018">
        <w:rPr>
          <w:rFonts w:ascii="Times New Roman" w:hAnsi="Times New Roman" w:cs="Times New Roman"/>
          <w:sz w:val="24"/>
          <w:szCs w:val="24"/>
        </w:rPr>
        <w:t>Como un método benéfico para el medio ambiente y como la mejor opción para el desarrollo económico y la mejora de la calidad de vida de los países en desarrollo, la digestión anaerobia es un método adecuado para generar energía renovable</w:t>
      </w:r>
      <w:r w:rsidR="00976D5E">
        <w:rPr>
          <w:rFonts w:ascii="Times New Roman" w:hAnsi="Times New Roman" w:cs="Times New Roman"/>
          <w:sz w:val="24"/>
          <w:szCs w:val="24"/>
        </w:rPr>
        <w:t xml:space="preserve"> </w:t>
      </w:r>
      <w:r w:rsidR="00976D5E">
        <w:rPr>
          <w:rFonts w:ascii="Times New Roman" w:hAnsi="Times New Roman" w:cs="Times New Roman"/>
          <w:sz w:val="24"/>
          <w:szCs w:val="24"/>
        </w:rPr>
        <w:fldChar w:fldCharType="begin" w:fldLock="1"/>
      </w:r>
      <w:r w:rsidR="00976D5E">
        <w:rPr>
          <w:rFonts w:ascii="Times New Roman" w:hAnsi="Times New Roman" w:cs="Times New Roman"/>
          <w:sz w:val="24"/>
          <w:szCs w:val="24"/>
        </w:rPr>
        <w:instrText>ADDIN CSL_CITATION {"citationItems":[{"id":"ITEM-1","itemData":{"DOI":"10.1016/j.wasman.2016.03.046","ISSN":"18792456","abstract":"Anaerobic digestion of commercial food waste is a promising alternative to landfilling commercial food waste. This study characterized 11 types of commercial food wastes and 12 co-digestion blends. Bio-methane potential, biodegradable fraction, and apparent first-order hydrolysis rate coefficients were reported based upon biochemical methane potential (BMP) assays. Food waste bio-methane potentials ranged from 165 to 496 mL CH4/g VS. Substrates high in lipids or readily degradable carbohydrates showed the highest methane production. Average bio-methane potential observed for co-digested substrates was -5% to +20% that of the bio-methane potential of the individual substrates weighted by VS content. Apparent hydrolysis rate coefficients ranged from 0.19 d-1 to 0.65 d-1. Co-digested substrates showed an accelerated apparent hydrolysis rate relative to the weighted average of individual substrate rates. These results provide a database of key bio-digestion parameters to advance modeling and utilization of commercial food waste in anaerobic digestion.","author":[{"dropping-particle":"","family":"Ebner","given":"Jacqueline H.","non-dropping-particle":"","parse-names":false,"suffix":""},{"dropping-particle":"","family":"Labatut","given":"Rodrigo A.","non-dropping-particle":"","parse-names":false,"suffix":""},{"dropping-particle":"","family":"Lodge","given":"Jeffrey S.","non-dropping-particle":"","parse-names":false,"suffix":""},{"dropping-particle":"","family":"Williamson","given":"Anahita A.","non-dropping-particle":"","parse-names":false,"suffix":""},{"dropping-particle":"","family":"Trabold","given":"Thomas A.","non-dropping-particle":"","parse-names":false,"suffix":""}],"container-title":"Waste Management","id":"ITEM-1","issued":{"date-parts":[["2016"]]},"page":"286-294","publisher":"Elsevier Ltd","title":"Anaerobic co-digestion of commercial food waste and dairy manure: Characterizing biochemical parameters and synergistic effects","type":"article-journal","volume":"52"},"uris":["http://www.mendeley.com/documents/?uuid=3dc33751-1a48-4c07-aaad-97e87fe51705"]}],"mendeley":{"formattedCitation":"(Ebner et al. 2016)","plainTextFormattedCitation":"(Ebner et al. 2016)","previouslyFormattedCitation":"(Ebner et al. 2016)"},"properties":{"noteIndex":0},"schema":"https://github.com/citation-style-language/schema/raw/master/csl-citation.json"}</w:instrText>
      </w:r>
      <w:r w:rsidR="00976D5E">
        <w:rPr>
          <w:rFonts w:ascii="Times New Roman" w:hAnsi="Times New Roman" w:cs="Times New Roman"/>
          <w:sz w:val="24"/>
          <w:szCs w:val="24"/>
        </w:rPr>
        <w:fldChar w:fldCharType="separate"/>
      </w:r>
      <w:r w:rsidR="00976D5E" w:rsidRPr="00976D5E">
        <w:rPr>
          <w:rFonts w:ascii="Times New Roman" w:hAnsi="Times New Roman" w:cs="Times New Roman"/>
          <w:noProof/>
          <w:sz w:val="24"/>
          <w:szCs w:val="24"/>
        </w:rPr>
        <w:t xml:space="preserve">(Ebner </w:t>
      </w:r>
      <w:r w:rsidR="00C80D09">
        <w:rPr>
          <w:rFonts w:ascii="Times New Roman" w:hAnsi="Times New Roman" w:cs="Times New Roman"/>
          <w:noProof/>
          <w:sz w:val="24"/>
          <w:szCs w:val="24"/>
        </w:rPr>
        <w:t>et al.,</w:t>
      </w:r>
      <w:r w:rsidR="00976D5E" w:rsidRPr="00976D5E">
        <w:rPr>
          <w:rFonts w:ascii="Times New Roman" w:hAnsi="Times New Roman" w:cs="Times New Roman"/>
          <w:noProof/>
          <w:sz w:val="24"/>
          <w:szCs w:val="24"/>
        </w:rPr>
        <w:t xml:space="preserve"> 2016)</w:t>
      </w:r>
      <w:r w:rsidR="00976D5E">
        <w:rPr>
          <w:rFonts w:ascii="Times New Roman" w:hAnsi="Times New Roman" w:cs="Times New Roman"/>
          <w:sz w:val="24"/>
          <w:szCs w:val="24"/>
        </w:rPr>
        <w:fldChar w:fldCharType="end"/>
      </w:r>
      <w:r w:rsidR="002F35DF" w:rsidRPr="00686018">
        <w:rPr>
          <w:rFonts w:ascii="Times New Roman" w:hAnsi="Times New Roman" w:cs="Times New Roman"/>
          <w:sz w:val="24"/>
          <w:szCs w:val="24"/>
        </w:rPr>
        <w:t xml:space="preserve">. </w:t>
      </w:r>
      <w:r w:rsidR="0039406C" w:rsidRPr="00686018">
        <w:rPr>
          <w:rFonts w:ascii="Times New Roman" w:hAnsi="Times New Roman" w:cs="Times New Roman"/>
          <w:sz w:val="24"/>
          <w:szCs w:val="24"/>
        </w:rPr>
        <w:t>Países Europeos y Estados Unidos han desarrollado la tecnología para el tratamiento anaeróbico de aguas residuales y la producción de biogás</w:t>
      </w:r>
      <w:r w:rsidR="00E0044A" w:rsidRPr="00686018">
        <w:rPr>
          <w:rFonts w:ascii="Times New Roman" w:hAnsi="Times New Roman" w:cs="Times New Roman"/>
          <w:sz w:val="24"/>
          <w:szCs w:val="24"/>
        </w:rPr>
        <w:t xml:space="preserve"> </w:t>
      </w:r>
      <w:r w:rsidR="00513B8C" w:rsidRPr="00686018">
        <w:rPr>
          <w:rFonts w:ascii="Times New Roman" w:hAnsi="Times New Roman" w:cs="Times New Roman"/>
          <w:sz w:val="24"/>
          <w:szCs w:val="24"/>
        </w:rPr>
        <w:fldChar w:fldCharType="begin" w:fldLock="1"/>
      </w:r>
      <w:r w:rsidR="00513B8C" w:rsidRPr="00686018">
        <w:rPr>
          <w:rFonts w:ascii="Times New Roman" w:hAnsi="Times New Roman" w:cs="Times New Roman"/>
          <w:sz w:val="24"/>
          <w:szCs w:val="24"/>
        </w:rPr>
        <w:instrText>ADDIN CSL_CITATION {"citationItems":[{"id":"ITEM-1","itemData":{"DOI":"10.1016/j.biortech.2008.12.046","ISSN":"09608524","abstract":"One of the common tendencies of animal production activities in Europe and in developed countries in general is to intensify the animal production and to increase the size of the animal production units. High livestock density is always accompanied by production of a surplus of animal manure, representing a considerable pollution threat for the environment in these areas. Avoiding over-fertilization is not only important for environmental protection reasons but also for economical reasons. Intensive animal production areas need therefore suitable manure management, aiming to export and to redistribute the excess of nutrients from manure and to optimize their recycling. Anaerobic digestion of animal manure and slurries offers several benefits by improving their fertilizer qualities, reducing odors and pathogens and producing a renewable fuel - the biogas. The EU policies concerning renewable energy systems (RES) have set forward a fixed goal of supplying 20% of the European energy demands from RES by year 2020. A major part of the renewable energy will originate from European farming and forestry. At least 25% of all bioenergy in the future can originate from biogas, produced from wet organic materials such as: animal manure, whole crop silages, wet food and feed wastes, etc. © 2009 Elsevier Ltd. All rights reserved.","author":[{"dropping-particle":"","family":"Holm-Nielsen","given":"J. B.","non-dropping-particle":"","parse-names":false,"suffix":""},{"dropping-particle":"","family":"Seadi","given":"T.","non-dropping-particle":"Al","parse-names":false,"suffix":""},{"dropping-particle":"","family":"Oleskowicz-Popiel","given":"P.","non-dropping-particle":"","parse-names":false,"suffix":""}],"container-title":"Bioresource Technology","id":"ITEM-1","issue":"22","issued":{"date-parts":[["2009"]]},"page":"5478-5484","publisher":"Elsevier Ltd","title":"The future of anaerobic digestion and biogas utilization","type":"article-journal","volume":"100"},"uris":["http://www.mendeley.com/documents/?uuid=07cb3c3c-72bd-41a4-9458-7159ec64fe74"]}],"mendeley":{"formattedCitation":"(Holm-Nielsen et al. 2009)","plainTextFormattedCitation":"(Holm-Nielsen et al. 2009)","previouslyFormattedCitation":"(Holm-Nielsen et al. 2009)"},"properties":{"noteIndex":0},"schema":"https://github.com/citation-style-language/schema/raw/master/csl-citation.json"}</w:instrText>
      </w:r>
      <w:r w:rsidR="00513B8C" w:rsidRPr="00686018">
        <w:rPr>
          <w:rFonts w:ascii="Times New Roman" w:hAnsi="Times New Roman" w:cs="Times New Roman"/>
          <w:sz w:val="24"/>
          <w:szCs w:val="24"/>
        </w:rPr>
        <w:fldChar w:fldCharType="separate"/>
      </w:r>
      <w:r w:rsidR="00513B8C" w:rsidRPr="00686018">
        <w:rPr>
          <w:rFonts w:ascii="Times New Roman" w:hAnsi="Times New Roman" w:cs="Times New Roman"/>
          <w:noProof/>
          <w:sz w:val="24"/>
          <w:szCs w:val="24"/>
        </w:rPr>
        <w:t xml:space="preserve">(Holm-Nielsen </w:t>
      </w:r>
      <w:r w:rsidR="00C80D09">
        <w:rPr>
          <w:rFonts w:ascii="Times New Roman" w:hAnsi="Times New Roman" w:cs="Times New Roman"/>
          <w:noProof/>
          <w:sz w:val="24"/>
          <w:szCs w:val="24"/>
        </w:rPr>
        <w:t>et al.,</w:t>
      </w:r>
      <w:r w:rsidR="00513B8C" w:rsidRPr="00686018">
        <w:rPr>
          <w:rFonts w:ascii="Times New Roman" w:hAnsi="Times New Roman" w:cs="Times New Roman"/>
          <w:noProof/>
          <w:sz w:val="24"/>
          <w:szCs w:val="24"/>
        </w:rPr>
        <w:t xml:space="preserve"> 2009)</w:t>
      </w:r>
      <w:r w:rsidR="00513B8C" w:rsidRPr="00686018">
        <w:rPr>
          <w:rFonts w:ascii="Times New Roman" w:hAnsi="Times New Roman" w:cs="Times New Roman"/>
          <w:sz w:val="24"/>
          <w:szCs w:val="24"/>
        </w:rPr>
        <w:fldChar w:fldCharType="end"/>
      </w:r>
      <w:r w:rsidR="00E0044A" w:rsidRPr="00686018">
        <w:rPr>
          <w:rFonts w:ascii="Times New Roman" w:hAnsi="Times New Roman" w:cs="Times New Roman"/>
          <w:sz w:val="24"/>
          <w:szCs w:val="24"/>
        </w:rPr>
        <w:t>, esto es posible con el uso de modernos reactores que mejoran el tratamiento de una variedad de residuos con características diferentes</w:t>
      </w:r>
      <w:r w:rsidR="00976D5E">
        <w:rPr>
          <w:rFonts w:ascii="Times New Roman" w:hAnsi="Times New Roman" w:cs="Times New Roman"/>
          <w:sz w:val="24"/>
          <w:szCs w:val="24"/>
        </w:rPr>
        <w:t xml:space="preserve"> </w:t>
      </w:r>
      <w:r w:rsidR="00976D5E">
        <w:rPr>
          <w:rFonts w:ascii="Times New Roman" w:hAnsi="Times New Roman" w:cs="Times New Roman"/>
          <w:sz w:val="24"/>
          <w:szCs w:val="24"/>
        </w:rPr>
        <w:fldChar w:fldCharType="begin" w:fldLock="1"/>
      </w:r>
      <w:r w:rsidR="00881016">
        <w:rPr>
          <w:rFonts w:ascii="Times New Roman" w:hAnsi="Times New Roman" w:cs="Times New Roman"/>
          <w:sz w:val="24"/>
          <w:szCs w:val="24"/>
        </w:rPr>
        <w:instrText>ADDIN CSL_CITATION {"citationItems":[{"id":"ITEM-1","itemData":{"DOI":"nei-dk-4757.pdf","ISBN":"8791855101","ISSN":"8791855101","abstract":"The demand for online monitoring and control of biogas process is increasing, since better monitoring and control system can improve process stability and enhance process performance for better economy of the biogas plants. A number of parameters in both the liquid and the gas phase have been suggested as process indicators. These include gas production, pH, alkalinity, volatile fatty acids (VFA) and hydrogen. Of these, VFA is the most widely recognised as a direct, relevant measure of stability. The individual, rather than collective VFA concentrations are recognised as providing significantly more information for diagnosis. However, classic on-line measurement is based on filtration, which suffers from fouling, especially in particulate or slurry wastes. In this project, a new online VFA monitoring system has been developed using gas-phase VFA extraction to avoid sample filtration. The liquid sample is pumped into a sampling chamber, acidified, added with salt and heated to extract VFA into the gas phase before analysis by GC-FID. This allows easy application to manure. Sample and analysis time of the system varies from 25-40 min. depending on the washing duration. The sampling frequency is fast enough for the dynamic of a manure digester, which is in the range of several hours. This system has been validated over more than 6 months and had shown good agreement with offline VFA measurement. Response from this sensor was compared with other process parameters such as biogas production, pH and dissolved hydrogen during overload situations in a laboratory-scale digester, to investigate the suitability of each measure as a process indicator. VFA was most reliable for indicating process imbalance, and propionate was most persistent. However, when coupling the online VFA monitoring with a simple control for automatic controlling propionate level in a digester, it was found that propionate decreased so slow that the biogas production fluctuated. Therefore, it is more proper to optimise biogas production, while using propionate (or VFA) as a warning indicator for process imbalance. Moreover, in this project, the investigations of serial CSTR configuration for improving biogas production were also carried out both in lab-scale experiments and by using the ADM1 computer model. It was shown that the serial CSTR configuration with long retention time in the first reactor and short retention time in the second reactor could improve biogas production from manure an…","author":[{"dropping-particle":"","family":"Boe","given":"Kanokwan","non-dropping-particle":"","parse-names":false,"suffix":""}],"container-title":"Environment","id":"ITEM-1","issued":{"date-parts":[["2006"]]},"number-of-pages":"66","title":"Online monitoring and control of the biogas process","type":"book"},"uris":["http://www.mendeley.com/documents/?uuid=00a6d2ce-c715-4320-9831-434b50f7647a"]}],"mendeley":{"formattedCitation":"(Boe 2006)","plainTextFormattedCitation":"(Boe 2006)","previouslyFormattedCitation":"(Boe 2006)"},"properties":{"noteIndex":0},"schema":"https://github.com/citation-style-language/schema/raw/master/csl-citation.json"}</w:instrText>
      </w:r>
      <w:r w:rsidR="00976D5E">
        <w:rPr>
          <w:rFonts w:ascii="Times New Roman" w:hAnsi="Times New Roman" w:cs="Times New Roman"/>
          <w:sz w:val="24"/>
          <w:szCs w:val="24"/>
        </w:rPr>
        <w:fldChar w:fldCharType="separate"/>
      </w:r>
      <w:r w:rsidR="00881016" w:rsidRPr="00881016">
        <w:rPr>
          <w:rFonts w:ascii="Times New Roman" w:hAnsi="Times New Roman" w:cs="Times New Roman"/>
          <w:noProof/>
          <w:sz w:val="24"/>
          <w:szCs w:val="24"/>
        </w:rPr>
        <w:t>(Boe 2006)</w:t>
      </w:r>
      <w:r w:rsidR="00976D5E">
        <w:rPr>
          <w:rFonts w:ascii="Times New Roman" w:hAnsi="Times New Roman" w:cs="Times New Roman"/>
          <w:sz w:val="24"/>
          <w:szCs w:val="24"/>
        </w:rPr>
        <w:fldChar w:fldCharType="end"/>
      </w:r>
      <w:r w:rsidR="00E0044A" w:rsidRPr="00686018">
        <w:rPr>
          <w:rFonts w:ascii="Times New Roman" w:hAnsi="Times New Roman" w:cs="Times New Roman"/>
          <w:sz w:val="24"/>
          <w:szCs w:val="24"/>
        </w:rPr>
        <w:t>. Esta</w:t>
      </w:r>
      <w:r w:rsidR="00C433E6" w:rsidRPr="00686018">
        <w:rPr>
          <w:rFonts w:ascii="Times New Roman" w:hAnsi="Times New Roman" w:cs="Times New Roman"/>
          <w:sz w:val="24"/>
          <w:szCs w:val="24"/>
        </w:rPr>
        <w:t xml:space="preserve"> tecnología </w:t>
      </w:r>
      <w:r w:rsidR="00E0044A" w:rsidRPr="00686018">
        <w:rPr>
          <w:rFonts w:ascii="Times New Roman" w:hAnsi="Times New Roman" w:cs="Times New Roman"/>
          <w:sz w:val="24"/>
          <w:szCs w:val="24"/>
        </w:rPr>
        <w:t xml:space="preserve">es </w:t>
      </w:r>
      <w:r w:rsidR="00C433E6" w:rsidRPr="00686018">
        <w:rPr>
          <w:rFonts w:ascii="Times New Roman" w:hAnsi="Times New Roman" w:cs="Times New Roman"/>
          <w:sz w:val="24"/>
          <w:szCs w:val="24"/>
        </w:rPr>
        <w:t>capaz de manejar varios residuos orgánicos</w:t>
      </w:r>
      <w:r w:rsidR="00FF0B92" w:rsidRPr="00686018">
        <w:rPr>
          <w:rFonts w:ascii="Times New Roman" w:hAnsi="Times New Roman" w:cs="Times New Roman"/>
          <w:sz w:val="24"/>
          <w:szCs w:val="24"/>
        </w:rPr>
        <w:t>,</w:t>
      </w:r>
      <w:r w:rsidR="00C433E6" w:rsidRPr="00686018">
        <w:rPr>
          <w:rFonts w:ascii="Times New Roman" w:hAnsi="Times New Roman" w:cs="Times New Roman"/>
          <w:sz w:val="24"/>
          <w:szCs w:val="24"/>
        </w:rPr>
        <w:t xml:space="preserve"> </w:t>
      </w:r>
      <w:r w:rsidR="00FF0B92" w:rsidRPr="00686018">
        <w:rPr>
          <w:rFonts w:ascii="Times New Roman" w:hAnsi="Times New Roman" w:cs="Times New Roman"/>
          <w:sz w:val="24"/>
          <w:szCs w:val="24"/>
        </w:rPr>
        <w:t>tales como: estiércol de ganado, residuos de biomasa agrícola (restos de cosecha)</w:t>
      </w:r>
      <w:r w:rsidR="00881016">
        <w:rPr>
          <w:rFonts w:ascii="Times New Roman" w:hAnsi="Times New Roman" w:cs="Times New Roman"/>
          <w:sz w:val="24"/>
          <w:szCs w:val="24"/>
        </w:rPr>
        <w:t xml:space="preserve"> </w:t>
      </w:r>
      <w:r w:rsidR="00881016">
        <w:rPr>
          <w:rFonts w:ascii="Times New Roman" w:hAnsi="Times New Roman" w:cs="Times New Roman"/>
          <w:sz w:val="24"/>
          <w:szCs w:val="24"/>
        </w:rPr>
        <w:fldChar w:fldCharType="begin" w:fldLock="1"/>
      </w:r>
      <w:r w:rsidR="00881016">
        <w:rPr>
          <w:rFonts w:ascii="Times New Roman" w:hAnsi="Times New Roman" w:cs="Times New Roman"/>
          <w:sz w:val="24"/>
          <w:szCs w:val="24"/>
        </w:rPr>
        <w:instrText>ADDIN CSL_CITATION {"citationItems":[{"id":"ITEM-1","itemData":{"DOI":"10.1016/j.biortech.2017.08.182","ISSN":"18732976","abstract":"The anaerobic digestion (AD) of agricultural biomass is an attractive second generation biofuel with potential environmental and economic benefits. Most agricultural biomass contains lignocellulose which requires pretreatment prior to AD. For optimization, the pretreatment methods need to be specific to the characteristics of the biomass feedstock. In this review, cereal residue, fruit and vegetable wastes, grasses and animal manure were selected as the agricultural biomass candidates, and the fundamentals and current state of various pretreatment methods used for AD of these feedstocks were investigated. Several nonconventional methods (electrical, ionic liquid-based chemicals, ruminant biological pretreatment) offer potential as targeted pretreatments of lignocellulosic biomass, but each comes with its own challenges. Pursuing an energy-intensive route, a combined bioethanol-biogas production could be a promising a second biofuel refinery option, further emphasizing the importance of pretreatment when lignocellulosic feedstock is used.","author":[{"dropping-particle":"","family":"Paudel","given":"Shukra Raj","non-dropping-particle":"","parse-names":false,"suffix":""},{"dropping-particle":"","family":"Banjara","given":"Sushant Prasad","non-dropping-particle":"","parse-names":false,"suffix":""},{"dropping-particle":"","family":"Choi","given":"Oh Kyung","non-dropping-particle":"","parse-names":false,"suffix":""},{"dropping-particle":"","family":"Park","given":"Ki Young","non-dropping-particle":"","parse-names":false,"suffix":""},{"dropping-particle":"","family":"Kim","given":"Young Mo","non-dropping-particle":"","parse-names":false,"suffix":""},{"dropping-particle":"","family":"Lee","given":"Jae Woo","non-dropping-particle":"","parse-names":false,"suffix":""}],"container-title":"Bioresource Technology","id":"ITEM-1","issued":{"date-parts":[["2017"]]},"page":"1194-1205","publisher":"Elsevier Ltd","title":"Pretreatment of agricultural biomass for anaerobic digestion: Current state and challenges","type":"article-journal","volume":"245"},"uris":["http://www.mendeley.com/documents/?uuid=0987fdd7-b460-4355-92e9-d99580ca1b98"]}],"mendeley":{"formattedCitation":"(Paudel et al. 2017)","plainTextFormattedCitation":"(Paudel et al. 2017)","previouslyFormattedCitation":"(Paudel et al. 2017)"},"properties":{"noteIndex":0},"schema":"https://github.com/citation-style-language/schema/raw/master/csl-citation.json"}</w:instrText>
      </w:r>
      <w:r w:rsidR="00881016">
        <w:rPr>
          <w:rFonts w:ascii="Times New Roman" w:hAnsi="Times New Roman" w:cs="Times New Roman"/>
          <w:sz w:val="24"/>
          <w:szCs w:val="24"/>
        </w:rPr>
        <w:fldChar w:fldCharType="separate"/>
      </w:r>
      <w:r w:rsidR="00881016" w:rsidRPr="00881016">
        <w:rPr>
          <w:rFonts w:ascii="Times New Roman" w:hAnsi="Times New Roman" w:cs="Times New Roman"/>
          <w:noProof/>
          <w:sz w:val="24"/>
          <w:szCs w:val="24"/>
        </w:rPr>
        <w:t xml:space="preserve">(Paudel </w:t>
      </w:r>
      <w:r w:rsidR="00C80D09">
        <w:rPr>
          <w:rFonts w:ascii="Times New Roman" w:hAnsi="Times New Roman" w:cs="Times New Roman"/>
          <w:noProof/>
          <w:sz w:val="24"/>
          <w:szCs w:val="24"/>
        </w:rPr>
        <w:t>et al.,</w:t>
      </w:r>
      <w:r w:rsidR="00881016" w:rsidRPr="00881016">
        <w:rPr>
          <w:rFonts w:ascii="Times New Roman" w:hAnsi="Times New Roman" w:cs="Times New Roman"/>
          <w:noProof/>
          <w:sz w:val="24"/>
          <w:szCs w:val="24"/>
        </w:rPr>
        <w:t xml:space="preserve"> 2017)</w:t>
      </w:r>
      <w:r w:rsidR="00881016">
        <w:rPr>
          <w:rFonts w:ascii="Times New Roman" w:hAnsi="Times New Roman" w:cs="Times New Roman"/>
          <w:sz w:val="24"/>
          <w:szCs w:val="24"/>
        </w:rPr>
        <w:fldChar w:fldCharType="end"/>
      </w:r>
      <w:r w:rsidR="00FF0B92" w:rsidRPr="00686018">
        <w:rPr>
          <w:rFonts w:ascii="Times New Roman" w:hAnsi="Times New Roman" w:cs="Times New Roman"/>
          <w:sz w:val="24"/>
          <w:szCs w:val="24"/>
        </w:rPr>
        <w:t>, resid</w:t>
      </w:r>
      <w:r w:rsidR="002F35DF" w:rsidRPr="00686018">
        <w:rPr>
          <w:rFonts w:ascii="Times New Roman" w:hAnsi="Times New Roman" w:cs="Times New Roman"/>
          <w:sz w:val="24"/>
          <w:szCs w:val="24"/>
        </w:rPr>
        <w:t>uos de las industrias lecheras,</w:t>
      </w:r>
      <w:r w:rsidR="00FF0B92" w:rsidRPr="00686018">
        <w:rPr>
          <w:rFonts w:ascii="Times New Roman" w:hAnsi="Times New Roman" w:cs="Times New Roman"/>
          <w:sz w:val="24"/>
          <w:szCs w:val="24"/>
        </w:rPr>
        <w:t xml:space="preserve"> residuos municipales</w:t>
      </w:r>
      <w:r w:rsidR="002F35DF" w:rsidRPr="00686018">
        <w:rPr>
          <w:rFonts w:ascii="Times New Roman" w:hAnsi="Times New Roman" w:cs="Times New Roman"/>
          <w:sz w:val="24"/>
          <w:szCs w:val="24"/>
        </w:rPr>
        <w:t xml:space="preserve"> (desecho vegetal)</w:t>
      </w:r>
      <w:r w:rsidR="004A613E" w:rsidRPr="00686018">
        <w:rPr>
          <w:rFonts w:ascii="Times New Roman" w:hAnsi="Times New Roman" w:cs="Times New Roman"/>
          <w:sz w:val="24"/>
          <w:szCs w:val="24"/>
        </w:rPr>
        <w:t>.</w:t>
      </w:r>
      <w:r w:rsidR="00881016">
        <w:rPr>
          <w:rFonts w:ascii="Times New Roman" w:hAnsi="Times New Roman" w:cs="Times New Roman"/>
          <w:sz w:val="24"/>
          <w:szCs w:val="24"/>
        </w:rPr>
        <w:t xml:space="preserve"> </w:t>
      </w:r>
      <w:r w:rsidR="00881016">
        <w:rPr>
          <w:rFonts w:ascii="Times New Roman" w:hAnsi="Times New Roman" w:cs="Times New Roman"/>
          <w:sz w:val="24"/>
          <w:szCs w:val="24"/>
        </w:rPr>
        <w:fldChar w:fldCharType="begin" w:fldLock="1"/>
      </w:r>
      <w:r w:rsidR="000C358A">
        <w:rPr>
          <w:rFonts w:ascii="Times New Roman" w:hAnsi="Times New Roman" w:cs="Times New Roman"/>
          <w:sz w:val="24"/>
          <w:szCs w:val="24"/>
        </w:rPr>
        <w:instrText>ADDIN CSL_CITATION {"citationItems":[{"id":"ITEM-1","itemData":{"DOI":"10.1016/j.wasman.2016.05.020","ISSN":"18792456","abstract":"Impact of co-digestion versus mono-digestion on biogas and CH4 yield for a set of five biomass materials (vegetable food waste, cow dung, pig manure, grass clippings, and chicken manure) was investigated considering 95 different biomass mixes of the five materials under thermophilic conditions in bench-scale batch experiments over a period of 65 days. Average biogas and CH4 yields were significantly higher during co-digestion than during mono-digestion of the same materials. This improvement was most significant for co-digestion experiments involving three biomass types, although it was independent of the specific biomasses being co-digested. Improvement in CH4 production was further more prominent early in the digestion process during co-digestion compared to mono-digestion. Co-digestion also appeared to increase the ultimate CH4/CO2 ratio of the gas produced compared to mono-digestion although this tendency was relatively weak and not statistically significant.","author":[{"dropping-particle":"","family":"Poulsen","given":"Tjalfe G.","non-dropping-particle":"","parse-names":false,"suffix":""},{"dropping-particle":"","family":"Adelard","given":"Laetitia","non-dropping-particle":"","parse-names":false,"suffix":""}],"container-title":"Waste Management","id":"ITEM-1","issued":{"date-parts":[["2016"]]},"page":"118-125","publisher":"Elsevier Ltd","title":"Improving biogas quality and methane yield via co-digestion of agricultural and urban biomass wastes","type":"article-journal","volume":"54"},"uris":["http://www.mendeley.com/documents/?uuid=b8704bc0-074d-4be0-85c2-ad0748ae1a3c"]}],"mendeley":{"formattedCitation":"(Poulsen y Adelard 2016)","plainTextFormattedCitation":"(Poulsen y Adelard 2016)","previouslyFormattedCitation":"(Poulsen y Adelard 2016)"},"properties":{"noteIndex":0},"schema":"https://github.com/citation-style-language/schema/raw/master/csl-citation.json"}</w:instrText>
      </w:r>
      <w:r w:rsidR="00881016">
        <w:rPr>
          <w:rFonts w:ascii="Times New Roman" w:hAnsi="Times New Roman" w:cs="Times New Roman"/>
          <w:sz w:val="24"/>
          <w:szCs w:val="24"/>
        </w:rPr>
        <w:fldChar w:fldCharType="separate"/>
      </w:r>
      <w:r w:rsidR="00881016" w:rsidRPr="00881016">
        <w:rPr>
          <w:rFonts w:ascii="Times New Roman" w:hAnsi="Times New Roman" w:cs="Times New Roman"/>
          <w:noProof/>
          <w:sz w:val="24"/>
          <w:szCs w:val="24"/>
        </w:rPr>
        <w:t>(Poulsen y Adelard</w:t>
      </w:r>
      <w:r w:rsidR="00C80D09">
        <w:rPr>
          <w:rFonts w:ascii="Times New Roman" w:hAnsi="Times New Roman" w:cs="Times New Roman"/>
          <w:noProof/>
          <w:sz w:val="24"/>
          <w:szCs w:val="24"/>
        </w:rPr>
        <w:t>,</w:t>
      </w:r>
      <w:r w:rsidR="00881016" w:rsidRPr="00881016">
        <w:rPr>
          <w:rFonts w:ascii="Times New Roman" w:hAnsi="Times New Roman" w:cs="Times New Roman"/>
          <w:noProof/>
          <w:sz w:val="24"/>
          <w:szCs w:val="24"/>
        </w:rPr>
        <w:t xml:space="preserve"> 2016)</w:t>
      </w:r>
      <w:r w:rsidR="00881016">
        <w:rPr>
          <w:rFonts w:ascii="Times New Roman" w:hAnsi="Times New Roman" w:cs="Times New Roman"/>
          <w:sz w:val="24"/>
          <w:szCs w:val="24"/>
        </w:rPr>
        <w:fldChar w:fldCharType="end"/>
      </w:r>
      <w:r w:rsidR="00D74C12" w:rsidRPr="00686018">
        <w:rPr>
          <w:rFonts w:ascii="Times New Roman" w:hAnsi="Times New Roman" w:cs="Times New Roman"/>
          <w:sz w:val="24"/>
          <w:szCs w:val="24"/>
        </w:rPr>
        <w:t xml:space="preserve">, </w:t>
      </w:r>
      <w:r w:rsidR="007C214C" w:rsidRPr="00686018">
        <w:rPr>
          <w:rFonts w:ascii="Times New Roman" w:hAnsi="Times New Roman" w:cs="Times New Roman"/>
          <w:sz w:val="24"/>
          <w:szCs w:val="24"/>
        </w:rPr>
        <w:t xml:space="preserve">tratamiento de lodo primario </w:t>
      </w:r>
      <w:r w:rsidR="00D74C12" w:rsidRPr="00686018">
        <w:rPr>
          <w:rFonts w:ascii="Times New Roman" w:hAnsi="Times New Roman" w:cs="Times New Roman"/>
          <w:sz w:val="24"/>
          <w:szCs w:val="24"/>
        </w:rPr>
        <w:t>y aguas residuales</w:t>
      </w:r>
      <w:r w:rsidR="0068649D" w:rsidRPr="00686018">
        <w:rPr>
          <w:rFonts w:ascii="Times New Roman" w:hAnsi="Times New Roman" w:cs="Times New Roman"/>
          <w:sz w:val="24"/>
          <w:szCs w:val="24"/>
        </w:rPr>
        <w:t xml:space="preserve"> </w:t>
      </w:r>
      <w:r w:rsidR="0068649D" w:rsidRPr="00686018">
        <w:rPr>
          <w:rFonts w:ascii="Times New Roman" w:hAnsi="Times New Roman" w:cs="Times New Roman"/>
          <w:sz w:val="24"/>
          <w:szCs w:val="24"/>
        </w:rPr>
        <w:fldChar w:fldCharType="begin" w:fldLock="1"/>
      </w:r>
      <w:r w:rsidR="0068649D" w:rsidRPr="00686018">
        <w:rPr>
          <w:rFonts w:ascii="Times New Roman" w:hAnsi="Times New Roman" w:cs="Times New Roman"/>
          <w:sz w:val="24"/>
          <w:szCs w:val="24"/>
        </w:rPr>
        <w:instrText>ADDIN CSL_CITATION {"citationItems":[{"id":"ITEM-1","itemData":{"DOI":"10.1016/j.egypro.2017.12.012","ISSN":"18766102","abstract":"The anaerobic digestion (AD) process is being increasingly recognised as a technology for clean energy generation. However, in Ecuador, there is a little application of this technology due to lack of adequate research, economic incentives and the current relatively low price of electricity. This study examined the feasibility of biogas production using anaerobic co-digestion of food waste (FW) and primary sludge (PS) under thermophilic (55 °C) and mesophilic (35 °C) conditions. The biogas is then used for power and heat generation. Using case study approach, data were collected from Riobamba vegetable market and Penipe waste treatment plant in Ecuador. Three different mixing ratios of FW: PS were used (1:2, 1:1 and 2:1) with volatile solids (VS) content of 84.53%, 86.99%, and 89.6% respectively. Furthermore, the organic loading rates (OLR) used were 2.08, 2.49 and 3.34 gvs 1-1day-1for the above mixing ratios with a hydraulic retention time (HRT) of 21 days. Computational models of biogas production and a combined heat and power (CHP) system were developed using Aspen Plus software. Results indicated that a mixing ratio of 1:2 and mass flow of 132.42 tonnes/day, the maximum specific methane production obtained was 270 and 205 ml CH4/ gVSat thermophilic and mesophilic conditions respectively. The power production with the aforementioned values were 188.42 and 137.79 kW for both thermal conditions. Finally, an economic analysis for both scenarios was carried out using Ecuadorian renewable energy tariffs. A positive NPV values of £147,580 and £186,307 with a discounted payback period of 20.97 and 17.33 years were obtained for both scenarios respectively, assuming that the interest rate was 4.89% and a lifetime of 25 years.","author":[{"dropping-particle":"","family":"Aguilar","given":"Marcelo Calispa","non-dropping-particle":"","parse-names":false,"suffix":""},{"dropping-particle":"","family":"Wang","given":"Yao Dong","non-dropping-particle":"","parse-names":false,"suffix":""},{"dropping-particle":"","family":"Roskilly","given":"Tony","non-dropping-particle":"","parse-names":false,"suffix":""},{"dropping-particle":"","family":"Pathare","given":"Pankaj B.","non-dropping-particle":"","parse-names":false,"suffix":""},{"dropping-particle":"","family":"Lamidi","given":"Rasaq O.","non-dropping-particle":"","parse-names":false,"suffix":""}],"container-title":"Energy Procedia","id":"ITEM-1","issued":{"date-parts":[["2017"]]},"page":"70-76","publisher":"Elsevier B.V.","title":"Biogas from anaerobic co-digestion of food waste and primary sludge for cogeneration of power and heat","type":"article-journal","volume":"142"},"uris":["http://www.mendeley.com/documents/?uuid=8d4ade09-523c-4f52-8f93-a7f3911c0da7"]}],"mendeley":{"formattedCitation":"(Aguilar et al. 2017)","plainTextFormattedCitation":"(Aguilar et al. 2017)","previouslyFormattedCitation":"(Aguilar et al. 2017)"},"properties":{"noteIndex":0},"schema":"https://github.com/citation-style-language/schema/raw/master/csl-citation.json"}</w:instrText>
      </w:r>
      <w:r w:rsidR="0068649D" w:rsidRPr="00686018">
        <w:rPr>
          <w:rFonts w:ascii="Times New Roman" w:hAnsi="Times New Roman" w:cs="Times New Roman"/>
          <w:sz w:val="24"/>
          <w:szCs w:val="24"/>
        </w:rPr>
        <w:fldChar w:fldCharType="separate"/>
      </w:r>
      <w:r w:rsidR="0068649D" w:rsidRPr="00686018">
        <w:rPr>
          <w:rFonts w:ascii="Times New Roman" w:hAnsi="Times New Roman" w:cs="Times New Roman"/>
          <w:noProof/>
          <w:sz w:val="24"/>
          <w:szCs w:val="24"/>
        </w:rPr>
        <w:t xml:space="preserve">(Aguilar </w:t>
      </w:r>
      <w:r w:rsidR="00C80D09">
        <w:rPr>
          <w:rFonts w:ascii="Times New Roman" w:hAnsi="Times New Roman" w:cs="Times New Roman"/>
          <w:noProof/>
          <w:sz w:val="24"/>
          <w:szCs w:val="24"/>
        </w:rPr>
        <w:t>et al.,</w:t>
      </w:r>
      <w:r w:rsidR="0068649D" w:rsidRPr="00686018">
        <w:rPr>
          <w:rFonts w:ascii="Times New Roman" w:hAnsi="Times New Roman" w:cs="Times New Roman"/>
          <w:noProof/>
          <w:sz w:val="24"/>
          <w:szCs w:val="24"/>
        </w:rPr>
        <w:t xml:space="preserve"> 2017)</w:t>
      </w:r>
      <w:r w:rsidR="0068649D" w:rsidRPr="00686018">
        <w:rPr>
          <w:rFonts w:ascii="Times New Roman" w:hAnsi="Times New Roman" w:cs="Times New Roman"/>
          <w:sz w:val="24"/>
          <w:szCs w:val="24"/>
        </w:rPr>
        <w:fldChar w:fldCharType="end"/>
      </w:r>
      <w:r w:rsidR="007C214C" w:rsidRPr="00686018">
        <w:rPr>
          <w:rFonts w:ascii="Times New Roman" w:hAnsi="Times New Roman" w:cs="Times New Roman"/>
          <w:sz w:val="24"/>
          <w:szCs w:val="24"/>
        </w:rPr>
        <w:t xml:space="preserve">. </w:t>
      </w:r>
      <w:r w:rsidR="004A613E" w:rsidRPr="00686018">
        <w:rPr>
          <w:rFonts w:ascii="Times New Roman" w:hAnsi="Times New Roman" w:cs="Times New Roman"/>
          <w:sz w:val="24"/>
          <w:szCs w:val="24"/>
        </w:rPr>
        <w:t xml:space="preserve"> </w:t>
      </w:r>
    </w:p>
    <w:p w:rsidR="00EF6C33" w:rsidRPr="00686018" w:rsidRDefault="00481E36"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t xml:space="preserve">En el Ecuador, la energía renovable  no convencional incluye el viento, energía solar y de fuentes procedentes de materia biodegradable </w:t>
      </w:r>
      <w:sdt>
        <w:sdtPr>
          <w:rPr>
            <w:rFonts w:ascii="Times New Roman" w:hAnsi="Times New Roman" w:cs="Times New Roman"/>
            <w:sz w:val="24"/>
            <w:szCs w:val="24"/>
          </w:rPr>
          <w:id w:val="-1811246338"/>
          <w:citation/>
        </w:sdtPr>
        <w:sdtEndPr/>
        <w:sdtContent>
          <w:r w:rsidRPr="00686018">
            <w:rPr>
              <w:rFonts w:ascii="Times New Roman" w:hAnsi="Times New Roman" w:cs="Times New Roman"/>
              <w:sz w:val="24"/>
              <w:szCs w:val="24"/>
            </w:rPr>
            <w:fldChar w:fldCharType="begin"/>
          </w:r>
          <w:r w:rsidR="00513B8C" w:rsidRPr="00686018">
            <w:rPr>
              <w:rFonts w:ascii="Times New Roman" w:hAnsi="Times New Roman" w:cs="Times New Roman"/>
              <w:sz w:val="24"/>
              <w:szCs w:val="24"/>
            </w:rPr>
            <w:instrText xml:space="preserve">CITATION MIC15 \l 12298 </w:instrText>
          </w:r>
          <w:r w:rsidRPr="00686018">
            <w:rPr>
              <w:rFonts w:ascii="Times New Roman" w:hAnsi="Times New Roman" w:cs="Times New Roman"/>
              <w:sz w:val="24"/>
              <w:szCs w:val="24"/>
            </w:rPr>
            <w:fldChar w:fldCharType="separate"/>
          </w:r>
          <w:r w:rsidR="00F737D9" w:rsidRPr="00686018">
            <w:rPr>
              <w:rFonts w:ascii="Times New Roman" w:hAnsi="Times New Roman" w:cs="Times New Roman"/>
              <w:noProof/>
              <w:sz w:val="24"/>
              <w:szCs w:val="24"/>
            </w:rPr>
            <w:t>(MICSE ,2015)</w:t>
          </w:r>
          <w:r w:rsidRPr="00686018">
            <w:rPr>
              <w:rFonts w:ascii="Times New Roman" w:hAnsi="Times New Roman" w:cs="Times New Roman"/>
              <w:sz w:val="24"/>
              <w:szCs w:val="24"/>
            </w:rPr>
            <w:fldChar w:fldCharType="end"/>
          </w:r>
        </w:sdtContent>
      </w:sdt>
      <w:r w:rsidRPr="00686018">
        <w:rPr>
          <w:rFonts w:ascii="Times New Roman" w:hAnsi="Times New Roman" w:cs="Times New Roman"/>
          <w:sz w:val="24"/>
          <w:szCs w:val="24"/>
        </w:rPr>
        <w:t xml:space="preserve">. Materia biodegradable como las excretas de ganado, residuos vegetales alimenticios o restos de cosechas podrían recibir un tratamiento que los conviertan en productos con valor agregado. La mejor practica de manejo como se ha mencionado es la digestión anaerobia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{"citationItems":[{"id":"ITEM-1","itemData":{"DOI":"10.1016/j.rser.2017.05.137","ISBN":"1364-0321","ISSN":"18790690","abstract":"Anaerobic digestion is a versatile biotechnology for conversion of organic wastes to valuable biogas. Anaerobic digestion of manure is making the most of it, as the process allows simultaneous bio-energy generation, production of nutrient rich soil amendment, reduced emission of greenhouse gases and odor control; it is thus in line with climate friendly farming practices. Despite the enumerated advantages, the potential of manure for biogas production is not fully utilized due to the low and imbalance carbon to nitrogen (C/N) ratio in animal manures. To satisfy the anaerobic digestion requirements and to compensate the carbon deficiency of manure, there should be another carbon-rich substrate to be co-digested with manure to improve its characteristics for anaerobic digestion; lignocellulosic biomass residues seem promising for this purpose. This work presents a review on anaerobic co-digestion of animal manure and lignocellulosic feedstock for biogas production. Several research studies conducted on co-digestion of these organic wastes are described and reviewed. The impact of numerous parameters including temperature, pH, organic loading rate (OLR), hydraulic retention time (HRT), C/N ratio, alkalinity and concentration of volatile fatty acids (VFAs) on the performance and stability of the co-digestion process is extensively discussed. The influence of various pretreatment methods including physical, chemical and biological pretreatments on providing well-prepared substrate for anaerobic co-digestion and thus enhancement of biogas production is discussed. An overview of the most significant factors and intermediates which can inhibit or even cease the process is also presented.","author":[{"dropping-particle":"","family":"Neshat","given":"Soheil A.","non-dropping-particle":"","parse-names":false,"suffix":""},{"dropping-particle":"","family":"Mohammadi","given":"Maedeh","non-dropping-particle":"","parse-names":false,"suffix":""},{"dropping-particle":"","family":"Najafpour","given":"Ghasem D.","non-dropping-particle":"","parse-names":false,"suffix":""},{"dropping-particle":"","family":"Lahijani","given":"Pooya","non-dropping-particle":"","parse-names":false,"suffix":""}],"container-title":"Renewable and Sustainable Energy Reviews","id":"ITEM-1","issue":"July 2016","issued":{"date-parts":[["2017"]]},"page":"308-322","publisher":"Elsevier Ltd","title":"Anaerobic co-digestion of animal manures and lignocellulosic residues as a potent approach for sustainable biogas production","type":"article-journal","volume":"79"},"uris":["http://www.mendeley.com/documents/?uuid=79ec5037-db0a-4c66-a384-cbaaaf810b7b"]}],"mendeley":{"formattedCitation":"(Neshat et al. 2017)","plainTextFormattedCitation":"(Neshat et al. 2017)","previouslyFormattedCitation":"(Neshat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00DD537A" w:rsidRPr="00686018">
        <w:rPr>
          <w:rFonts w:ascii="Times New Roman" w:hAnsi="Times New Roman" w:cs="Times New Roman"/>
          <w:noProof/>
          <w:sz w:val="24"/>
          <w:szCs w:val="24"/>
        </w:rPr>
        <w:t xml:space="preserve">(Neshat </w:t>
      </w:r>
      <w:r w:rsidR="00C80D09">
        <w:rPr>
          <w:rFonts w:ascii="Times New Roman" w:hAnsi="Times New Roman" w:cs="Times New Roman"/>
          <w:noProof/>
          <w:sz w:val="24"/>
          <w:szCs w:val="24"/>
        </w:rPr>
        <w:t>et al.,</w:t>
      </w:r>
      <w:r w:rsidR="00DD537A"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r w:rsidR="00EF6C33" w:rsidRPr="00686018">
        <w:rPr>
          <w:rFonts w:ascii="Times New Roman" w:hAnsi="Times New Roman" w:cs="Times New Roman"/>
          <w:sz w:val="24"/>
          <w:szCs w:val="24"/>
        </w:rPr>
        <w:t xml:space="preserve"> </w:t>
      </w:r>
      <w:r w:rsidRPr="00686018">
        <w:rPr>
          <w:rFonts w:ascii="Times New Roman" w:hAnsi="Times New Roman" w:cs="Times New Roman"/>
          <w:sz w:val="24"/>
          <w:szCs w:val="24"/>
        </w:rPr>
        <w:t>En el cantón Balao (Guayas) s</w:t>
      </w:r>
      <w:r w:rsidR="00D74C12" w:rsidRPr="00686018">
        <w:rPr>
          <w:rFonts w:ascii="Times New Roman" w:hAnsi="Times New Roman" w:cs="Times New Roman"/>
          <w:sz w:val="24"/>
          <w:szCs w:val="24"/>
        </w:rPr>
        <w:t xml:space="preserve">e ha empleado </w:t>
      </w:r>
      <w:r w:rsidR="000C1592" w:rsidRPr="00686018">
        <w:rPr>
          <w:rFonts w:ascii="Times New Roman" w:hAnsi="Times New Roman" w:cs="Times New Roman"/>
          <w:sz w:val="24"/>
          <w:szCs w:val="24"/>
        </w:rPr>
        <w:t xml:space="preserve">las cascaras de cacao en </w:t>
      </w:r>
      <w:r w:rsidR="00E551B7" w:rsidRPr="00686018">
        <w:rPr>
          <w:rFonts w:ascii="Times New Roman" w:hAnsi="Times New Roman" w:cs="Times New Roman"/>
          <w:sz w:val="24"/>
          <w:szCs w:val="24"/>
        </w:rPr>
        <w:t>codigestión</w:t>
      </w:r>
      <w:r w:rsidR="000C1592" w:rsidRPr="00686018">
        <w:rPr>
          <w:rFonts w:ascii="Times New Roman" w:hAnsi="Times New Roman" w:cs="Times New Roman"/>
          <w:sz w:val="24"/>
          <w:szCs w:val="24"/>
        </w:rPr>
        <w:t xml:space="preserve"> con estiércol de vaca</w:t>
      </w:r>
      <w:r w:rsidR="00C354AC" w:rsidRPr="00686018">
        <w:rPr>
          <w:rFonts w:ascii="Times New Roman" w:hAnsi="Times New Roman" w:cs="Times New Roman"/>
          <w:sz w:val="24"/>
          <w:szCs w:val="24"/>
        </w:rPr>
        <w:t xml:space="preserve"> a escala laboratorio</w:t>
      </w:r>
      <w:r w:rsidR="000C1592" w:rsidRPr="00686018">
        <w:rPr>
          <w:rFonts w:ascii="Times New Roman" w:hAnsi="Times New Roman" w:cs="Times New Roman"/>
          <w:sz w:val="24"/>
          <w:szCs w:val="24"/>
        </w:rPr>
        <w:t xml:space="preserve"> para obtener biogás </w:t>
      </w:r>
      <w:r w:rsidR="00C354AC" w:rsidRPr="00686018">
        <w:rPr>
          <w:rFonts w:ascii="Times New Roman" w:hAnsi="Times New Roman" w:cs="Times New Roman"/>
          <w:sz w:val="24"/>
          <w:szCs w:val="24"/>
        </w:rPr>
        <w:t>con un rendimiento promedio de metano de 174 (húmedo) y 193 (seco) L kg</w:t>
      </w:r>
      <w:r w:rsidR="00C354AC" w:rsidRPr="00686018">
        <w:rPr>
          <w:rFonts w:ascii="Times New Roman" w:hAnsi="Times New Roman" w:cs="Times New Roman"/>
          <w:sz w:val="24"/>
          <w:szCs w:val="24"/>
          <w:vertAlign w:val="superscript"/>
        </w:rPr>
        <w:t>-1</w:t>
      </w:r>
      <w:r w:rsidR="00C354AC" w:rsidRPr="00686018">
        <w:rPr>
          <w:rFonts w:ascii="Times New Roman" w:hAnsi="Times New Roman" w:cs="Times New Roman"/>
          <w:sz w:val="24"/>
          <w:szCs w:val="24"/>
        </w:rPr>
        <w:t xml:space="preserve"> </w:t>
      </w:r>
      <w:r w:rsidRPr="00686018">
        <w:rPr>
          <w:rFonts w:ascii="Times New Roman" w:hAnsi="Times New Roman" w:cs="Times New Roman"/>
          <w:sz w:val="24"/>
          <w:szCs w:val="24"/>
        </w:rPr>
        <w:t>SV</w:t>
      </w:r>
      <w:r w:rsidR="0068649D" w:rsidRPr="00686018">
        <w:rPr>
          <w:rFonts w:ascii="Times New Roman" w:hAnsi="Times New Roman" w:cs="Times New Roman"/>
          <w:sz w:val="24"/>
          <w:szCs w:val="24"/>
        </w:rPr>
        <w:t xml:space="preserve"> </w:t>
      </w:r>
      <w:r w:rsidR="0068649D" w:rsidRPr="00686018">
        <w:rPr>
          <w:rFonts w:ascii="Times New Roman" w:hAnsi="Times New Roman" w:cs="Times New Roman"/>
          <w:sz w:val="24"/>
          <w:szCs w:val="24"/>
        </w:rPr>
        <w:fldChar w:fldCharType="begin" w:fldLock="1"/>
      </w:r>
      <w:r w:rsidR="00513B8C" w:rsidRPr="00686018">
        <w:rPr>
          <w:rFonts w:ascii="Times New Roman" w:hAnsi="Times New Roman" w:cs="Times New Roman"/>
          <w:sz w:val="24"/>
          <w:szCs w:val="24"/>
        </w:rPr>
        <w:instrText>ADDIN CSL_CITATION {"citationItems":[{"id":"ITEM-1","itemData":{"DOI":"10.1016/j.biortech.2018.05.100","ISSN":"18732976","PMID":"29887367","abstract":"The aim of this work was to evaluate the bioenergy potential of cocoa residue via anaerobic digestion. Batch and fed-batch lab-scale reactors were operated under low and high solids conditions. In the batch tests, 59 ± 4% of Chemical Oxygen Demand (COD) was recovered as methane. This corresponded with an average methane yield of 174 (wet) and 193 (dry) L kg−1volatile solids fed, whereas a series of fed-batch reactors produced 70 ± 24 (wet) and 107 ± 39 (dry) L CH4kg−1volatile solids fed during stable conditions. A case study was developed for canton Balao (Ecuador) based on our experimental data, operational estimates and available cocoa waste in the area. Annually, 8341 MWh could be produced, meeting 88% of the current electricity demand in Balao. This case study proves the potential for cocoa waste as a source of renewable energy in rural areas.","author":[{"dropping-particle":"","family":"Acosta","given":"Nayaret","non-dropping-particle":"","parse-names":false,"suffix":""},{"dropping-particle":"","family":"Vrieze","given":"Jo","non-dropping-particle":"De","parse-names":false,"suffix":""},{"dropping-particle":"","family":"Sandoval","given":"Verónica","non-dropping-particle":"","parse-names":false,"suffix":""},{"dropping-particle":"","family":"Sinche","given":"Danny","non-dropping-particle":"","parse-names":false,"suffix":""},{"dropping-particle":"","family":"Wierinck","given":"Isabella","non-dropping-particle":"","parse-names":false,"suffix":""},{"dropping-particle":"","family":"Rabaey","given":"Korneel","non-dropping-particle":"","parse-names":false,"suffix":""}],"container-title":"Bioresource Technology","id":"ITEM-1","issued":{"date-parts":[["2018"]]},"page":"568-572","title":"Cocoa residues as viable biomass for renewable energy production through anaerobic digestion","type":"article-journal","volume":"265"},"uris":["http://www.mendeley.com/documents/?uuid=6bbb176f-428b-44c5-8f33-642a6a7d4565"]}],"mendeley":{"formattedCitation":"(Acosta et al. 2018)","plainTextFormattedCitation":"(Acosta et al. 2018)","previouslyFormattedCitation":"(Acosta et al. 2018)"},"properties":{"noteIndex":0},"schema":"https://github.com/citation-style-language/schema/raw/master/csl-citation.json"}</w:instrText>
      </w:r>
      <w:r w:rsidR="0068649D" w:rsidRPr="00686018">
        <w:rPr>
          <w:rFonts w:ascii="Times New Roman" w:hAnsi="Times New Roman" w:cs="Times New Roman"/>
          <w:sz w:val="24"/>
          <w:szCs w:val="24"/>
        </w:rPr>
        <w:fldChar w:fldCharType="separate"/>
      </w:r>
      <w:r w:rsidR="0068649D" w:rsidRPr="00686018">
        <w:rPr>
          <w:rFonts w:ascii="Times New Roman" w:hAnsi="Times New Roman" w:cs="Times New Roman"/>
          <w:noProof/>
          <w:sz w:val="24"/>
          <w:szCs w:val="24"/>
        </w:rPr>
        <w:t xml:space="preserve">(Acosta </w:t>
      </w:r>
      <w:r w:rsidR="00C80D09">
        <w:rPr>
          <w:rFonts w:ascii="Times New Roman" w:hAnsi="Times New Roman" w:cs="Times New Roman"/>
          <w:noProof/>
          <w:sz w:val="24"/>
          <w:szCs w:val="24"/>
        </w:rPr>
        <w:t>et al.,</w:t>
      </w:r>
      <w:r w:rsidR="0068649D" w:rsidRPr="00686018">
        <w:rPr>
          <w:rFonts w:ascii="Times New Roman" w:hAnsi="Times New Roman" w:cs="Times New Roman"/>
          <w:noProof/>
          <w:sz w:val="24"/>
          <w:szCs w:val="24"/>
        </w:rPr>
        <w:t xml:space="preserve"> 2018)</w:t>
      </w:r>
      <w:r w:rsidR="0068649D" w:rsidRPr="00686018">
        <w:rPr>
          <w:rFonts w:ascii="Times New Roman" w:hAnsi="Times New Roman" w:cs="Times New Roman"/>
          <w:sz w:val="24"/>
          <w:szCs w:val="24"/>
        </w:rPr>
        <w:fldChar w:fldCharType="end"/>
      </w:r>
      <w:r w:rsidR="00C354AC" w:rsidRPr="00686018">
        <w:rPr>
          <w:rFonts w:ascii="Times New Roman" w:hAnsi="Times New Roman" w:cs="Times New Roman"/>
          <w:sz w:val="24"/>
          <w:szCs w:val="24"/>
        </w:rPr>
        <w:t xml:space="preserve">. </w:t>
      </w:r>
    </w:p>
    <w:p w:rsidR="007249B9" w:rsidRPr="00686018" w:rsidRDefault="00EF6C33"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t>En</w:t>
      </w:r>
      <w:r w:rsidR="00C354AC" w:rsidRPr="00686018">
        <w:rPr>
          <w:rFonts w:ascii="Times New Roman" w:hAnsi="Times New Roman" w:cs="Times New Roman"/>
          <w:sz w:val="24"/>
          <w:szCs w:val="24"/>
        </w:rPr>
        <w:t xml:space="preserve"> la</w:t>
      </w:r>
      <w:r w:rsidRPr="00686018">
        <w:rPr>
          <w:rFonts w:ascii="Times New Roman" w:hAnsi="Times New Roman" w:cs="Times New Roman"/>
          <w:sz w:val="24"/>
          <w:szCs w:val="24"/>
        </w:rPr>
        <w:t xml:space="preserve"> Provincia Bolívar, </w:t>
      </w:r>
      <w:r w:rsidR="00C354AC" w:rsidRPr="00686018">
        <w:rPr>
          <w:rFonts w:ascii="Times New Roman" w:hAnsi="Times New Roman" w:cs="Times New Roman"/>
          <w:sz w:val="24"/>
          <w:szCs w:val="24"/>
        </w:rPr>
        <w:t>ciudad de Guaranda</w:t>
      </w:r>
      <w:r w:rsidRPr="00686018">
        <w:rPr>
          <w:rFonts w:ascii="Times New Roman" w:hAnsi="Times New Roman" w:cs="Times New Roman"/>
          <w:sz w:val="24"/>
          <w:szCs w:val="24"/>
        </w:rPr>
        <w:t>;</w:t>
      </w:r>
      <w:r w:rsidR="00D74C12" w:rsidRPr="00686018">
        <w:rPr>
          <w:rFonts w:ascii="Times New Roman" w:hAnsi="Times New Roman" w:cs="Times New Roman"/>
          <w:sz w:val="24"/>
          <w:szCs w:val="24"/>
        </w:rPr>
        <w:t xml:space="preserve"> </w:t>
      </w:r>
      <w:r w:rsidR="00C354AC" w:rsidRPr="00686018">
        <w:rPr>
          <w:rFonts w:ascii="Times New Roman" w:hAnsi="Times New Roman" w:cs="Times New Roman"/>
          <w:sz w:val="24"/>
          <w:szCs w:val="24"/>
        </w:rPr>
        <w:t xml:space="preserve">se </w:t>
      </w:r>
      <w:r w:rsidR="004656F2" w:rsidRPr="00686018">
        <w:rPr>
          <w:rFonts w:ascii="Times New Roman" w:hAnsi="Times New Roman" w:cs="Times New Roman"/>
          <w:sz w:val="24"/>
          <w:szCs w:val="24"/>
        </w:rPr>
        <w:t>empleó</w:t>
      </w:r>
      <w:r w:rsidR="00C354AC" w:rsidRPr="00686018">
        <w:rPr>
          <w:rFonts w:ascii="Times New Roman" w:hAnsi="Times New Roman" w:cs="Times New Roman"/>
          <w:sz w:val="24"/>
          <w:szCs w:val="24"/>
        </w:rPr>
        <w:t xml:space="preserve"> </w:t>
      </w:r>
      <w:r w:rsidR="00D74C12" w:rsidRPr="00686018">
        <w:rPr>
          <w:rFonts w:ascii="Times New Roman" w:hAnsi="Times New Roman" w:cs="Times New Roman"/>
          <w:sz w:val="24"/>
          <w:szCs w:val="24"/>
        </w:rPr>
        <w:t xml:space="preserve">la </w:t>
      </w:r>
      <w:r w:rsidR="00E551B7" w:rsidRPr="00686018">
        <w:rPr>
          <w:rFonts w:ascii="Times New Roman" w:hAnsi="Times New Roman" w:cs="Times New Roman"/>
          <w:sz w:val="24"/>
          <w:szCs w:val="24"/>
        </w:rPr>
        <w:t>codigestión</w:t>
      </w:r>
      <w:r w:rsidR="00C354AC" w:rsidRPr="00686018">
        <w:rPr>
          <w:rFonts w:ascii="Times New Roman" w:hAnsi="Times New Roman" w:cs="Times New Roman"/>
          <w:sz w:val="24"/>
          <w:szCs w:val="24"/>
        </w:rPr>
        <w:t xml:space="preserve"> </w:t>
      </w:r>
      <w:r w:rsidR="004656F2" w:rsidRPr="00686018">
        <w:rPr>
          <w:rFonts w:ascii="Times New Roman" w:hAnsi="Times New Roman" w:cs="Times New Roman"/>
          <w:sz w:val="24"/>
          <w:szCs w:val="24"/>
        </w:rPr>
        <w:t>anaerobia para producir biogás a partir de residuo</w:t>
      </w:r>
      <w:r w:rsidRPr="00686018">
        <w:rPr>
          <w:rFonts w:ascii="Times New Roman" w:hAnsi="Times New Roman" w:cs="Times New Roman"/>
          <w:sz w:val="24"/>
          <w:szCs w:val="24"/>
        </w:rPr>
        <w:t>s de col y estierco de ganado. E</w:t>
      </w:r>
      <w:r w:rsidR="004656F2" w:rsidRPr="00686018">
        <w:rPr>
          <w:rFonts w:ascii="Times New Roman" w:hAnsi="Times New Roman" w:cs="Times New Roman"/>
          <w:sz w:val="24"/>
          <w:szCs w:val="24"/>
        </w:rPr>
        <w:t>l estudio determinó que el rendimiento de biogás fue de 389.47 cm</w:t>
      </w:r>
      <w:r w:rsidR="004656F2" w:rsidRPr="00686018">
        <w:rPr>
          <w:rFonts w:ascii="Times New Roman" w:hAnsi="Times New Roman" w:cs="Times New Roman"/>
          <w:sz w:val="24"/>
          <w:szCs w:val="24"/>
          <w:vertAlign w:val="superscript"/>
        </w:rPr>
        <w:t>3</w:t>
      </w:r>
      <w:r w:rsidR="004656F2" w:rsidRPr="00686018">
        <w:rPr>
          <w:rFonts w:ascii="Times New Roman" w:hAnsi="Times New Roman" w:cs="Times New Roman"/>
          <w:sz w:val="24"/>
          <w:szCs w:val="24"/>
        </w:rPr>
        <w:t>N g</w:t>
      </w:r>
      <w:r w:rsidR="004656F2" w:rsidRPr="00686018">
        <w:rPr>
          <w:rFonts w:ascii="Times New Roman" w:hAnsi="Times New Roman" w:cs="Times New Roman"/>
          <w:sz w:val="24"/>
          <w:szCs w:val="24"/>
          <w:vertAlign w:val="superscript"/>
        </w:rPr>
        <w:t>-1</w:t>
      </w:r>
      <w:r w:rsidR="004656F2" w:rsidRPr="00686018">
        <w:rPr>
          <w:rFonts w:ascii="Times New Roman" w:hAnsi="Times New Roman" w:cs="Times New Roman"/>
          <w:sz w:val="24"/>
          <w:szCs w:val="24"/>
        </w:rPr>
        <w:t xml:space="preserve"> SV inicial con una composición de metano de 61%</w:t>
      </w:r>
      <w:r w:rsidR="009D130E" w:rsidRPr="00686018">
        <w:rPr>
          <w:rFonts w:ascii="Times New Roman" w:hAnsi="Times New Roman" w:cs="Times New Roman"/>
          <w:sz w:val="24"/>
          <w:szCs w:val="24"/>
        </w:rPr>
        <w:t xml:space="preserve"> </w:t>
      </w:r>
      <w:r w:rsidR="009D130E" w:rsidRPr="00686018">
        <w:rPr>
          <w:rFonts w:ascii="Times New Roman" w:hAnsi="Times New Roman" w:cs="Times New Roman"/>
          <w:sz w:val="24"/>
          <w:szCs w:val="24"/>
        </w:rPr>
        <w:fldChar w:fldCharType="begin" w:fldLock="1"/>
      </w:r>
      <w:r w:rsidR="00697B52" w:rsidRPr="00686018">
        <w:rPr>
          <w:rFonts w:ascii="Times New Roman" w:hAnsi="Times New Roman" w:cs="Times New Roman"/>
          <w:sz w:val="24"/>
          <w:szCs w:val="24"/>
        </w:rPr>
        <w:instrText>ADDIN CSL_CITATION {"citationItems":[{"id":"ITEM-1","itemData":{"DOI":"10.1007/s12649-018-0228-7","ISBN":"0123456789","ISSN":"1877265X","abstract":"© 2018 Springer Science+Business Media B.V., part of Springer Nature For the economically depressed communities such as of those in the Canton Guaranda, Ecuador, to generate their own energy, from organic waste is very important because they are sometimes insulated and its gas and electricity supply is very deficient. The aim of this research, was to determine the feasibility of anaerobic co-digestion of wasted cabbage from the town’s market in Guaranda, Ecuador, and livestock manure. Two variables were studied: temperature of the process and the percentage of cabbage and livestock manure. Biogas quantity and kinetic parameters were evaluated. Kinetic model were analyzed by minimizing the mean percentage of error between the observed values (measured experimentally) and predicted, using the Runge–Kutta of order 4 for solving the system of differential equations obtained from mass balance. The results showed that a 50–50% ratio cabbage-manure at 30 °C temperature gave the highest production of biogas achieved is (389.47 cm 3 N/g initial SV) with a composition of 61% methane. The kinetic parameters found were µ max = 0.1053 day −1 ; Ks = 0.1153 mg/l; Y = 0.00246 g VSS /g COD and K dec = 0.001005 day −1 .","author":[{"dropping-particle":"","family":"Gaibor-Chávez","given":"Juan","non-dropping-particle":"","parse-names":false,"suffix":""},{"dropping-particle":"","family":"Niño-Ruiz","given":"Zulay","non-dropping-particle":"","parse-names":false,"suffix":""},{"dropping-particle":"","family":"Velázquez-Martí","given":"Borja","non-dropping-particle":"","parse-names":false,"suffix":""},{"dropping-particle":"","family":"Lucio-Quintana","given":"Araceli","non-dropping-particle":"","parse-names":false,"suffix":""}],"container-title":"Waste and Biomass Valorization","id":"ITEM-1","issue":"0","issued":{"date-parts":[["2018"]]},"page":"1-9","publisher":"Springer Netherlands","title":"Viability of Biogas Production and Determination of Bacterial Kinetics in Anaerobic Co-digestion of Cabbage Waste and Livestock Manure","type":"article-journal","volume":"0"},"uris":["http://www.mendeley.com/documents/?uuid=ad55527d-12ca-4819-bc3f-4023387ff9bf"]}],"mendeley":{"formattedCitation":"(Gaibor-Chávez et al. 2018)","plainTextFormattedCitation":"(Gaibor-Chávez et al. 2018)","previouslyFormattedCitation":"(Gaibor-Chávez et al. 2018)"},"properties":{"noteIndex":0},"schema":"https://github.com/citation-style-language/schema/raw/master/csl-citation.json"}</w:instrText>
      </w:r>
      <w:r w:rsidR="009D130E" w:rsidRPr="00686018">
        <w:rPr>
          <w:rFonts w:ascii="Times New Roman" w:hAnsi="Times New Roman" w:cs="Times New Roman"/>
          <w:sz w:val="24"/>
          <w:szCs w:val="24"/>
        </w:rPr>
        <w:fldChar w:fldCharType="separate"/>
      </w:r>
      <w:r w:rsidR="009D130E" w:rsidRPr="00686018">
        <w:rPr>
          <w:rFonts w:ascii="Times New Roman" w:hAnsi="Times New Roman" w:cs="Times New Roman"/>
          <w:noProof/>
          <w:sz w:val="24"/>
          <w:szCs w:val="24"/>
        </w:rPr>
        <w:t xml:space="preserve">(Gaibor-Chávez </w:t>
      </w:r>
      <w:r w:rsidR="00C80D09">
        <w:rPr>
          <w:rFonts w:ascii="Times New Roman" w:hAnsi="Times New Roman" w:cs="Times New Roman"/>
          <w:noProof/>
          <w:sz w:val="24"/>
          <w:szCs w:val="24"/>
        </w:rPr>
        <w:t>et al.,</w:t>
      </w:r>
      <w:r w:rsidR="009D130E" w:rsidRPr="00686018">
        <w:rPr>
          <w:rFonts w:ascii="Times New Roman" w:hAnsi="Times New Roman" w:cs="Times New Roman"/>
          <w:noProof/>
          <w:sz w:val="24"/>
          <w:szCs w:val="24"/>
        </w:rPr>
        <w:t xml:space="preserve"> 2018)</w:t>
      </w:r>
      <w:r w:rsidR="009D130E" w:rsidRPr="00686018">
        <w:rPr>
          <w:rFonts w:ascii="Times New Roman" w:hAnsi="Times New Roman" w:cs="Times New Roman"/>
          <w:sz w:val="24"/>
          <w:szCs w:val="24"/>
        </w:rPr>
        <w:fldChar w:fldCharType="end"/>
      </w:r>
    </w:p>
    <w:p w:rsidR="00481E36" w:rsidRPr="00686018" w:rsidRDefault="00481E36"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t>Con el propósito de obtener un mayor rendimiento de biogás y metano, y sabiendo que el estiércol animal posee un alto contenido de nitrógeno y un contenido bajo de carbono, la digestión anaerobia ha sido obstaculizada por la razón C/N optimo que se requiere para iniciar el proceso</w:t>
      </w:r>
      <w:r w:rsidR="000C358A">
        <w:rPr>
          <w:rFonts w:ascii="Times New Roman" w:hAnsi="Times New Roman" w:cs="Times New Roman"/>
          <w:sz w:val="24"/>
          <w:szCs w:val="24"/>
        </w:rPr>
        <w:t xml:space="preserve"> </w:t>
      </w:r>
      <w:r w:rsidR="000C358A">
        <w:rPr>
          <w:rFonts w:ascii="Times New Roman" w:hAnsi="Times New Roman" w:cs="Times New Roman"/>
          <w:sz w:val="24"/>
          <w:szCs w:val="24"/>
        </w:rPr>
        <w:fldChar w:fldCharType="begin" w:fldLock="1"/>
      </w:r>
      <w:r w:rsidR="000C358A">
        <w:rPr>
          <w:rFonts w:ascii="Times New Roman" w:hAnsi="Times New Roman" w:cs="Times New Roman"/>
          <w:sz w:val="24"/>
          <w:szCs w:val="24"/>
        </w:rPr>
        <w:instrText>ADDIN CSL_CITATION {"citationItems":[{"id":"ITEM-1","itemData":{"DOI":"10.1007/s13762-016-1069-1","ISSN":"17352630","abstract":"This literature review surveys the previous and current researches on the co-digestion of anaerobic processes and examines the synergies effect of co-digestion with cattle manure. Furthermore, this review also pays attention to different operational conditions like operating temperature, organic loading rate (OLR), hydraulic retention time (HRT), chemical oxygen demand (COD) and volatile solid (VS) removal efficiency and biogas or methane production. This review shows that anaerobic mono-digestion of cattle manure usually causing poor performance and stability. Anaerobic studies were generally performed under mesophilic conditions maintained between 35 and 37 °C. Organic waste loading rate generally ranges from 1 to 6 g VS–COD L−1 day−1 stable condition in anaerobic digester. Generally, studies show that HRT for co-digestion of fruit–vegetables waste and industrial organic waste appears to exceed 20 days. However, the anaerobic co-digestion process is generally operated at HRT of between 10 and 20 days. VS and COD removal efficiency usually reaches up to 90 % due to co-digestion with different type organic waste. Methane–biogas production is generally obtained between 0.1 and 0.65 L CH4–biogas g−1 VS.","author":[{"dropping-particle":"","family":"Tufaner","given":"F.","non-dropping-particle":"","parse-names":false,"suffix":""},{"dropping-particle":"","family":"Avşar","given":"Y.","non-dropping-particle":"","parse-names":false,"suffix":""}],"container-title":"International Journal of Environmental Science and Technology","id":"ITEM-1","issue":"9","issued":{"date-parts":[["2016"]]},"page":"2303-2312","title":"Effects of co-substrate on biogas production from cattle manure: a review","type":"article-journal","volume":"13"},"uris":["http://www.mendeley.com/documents/?uuid=f60b78b1-554c-4023-97b4-55b3ce9792ba"]}],"mendeley":{"formattedCitation":"(Tufaner y Avşar 2016)","plainTextFormattedCitation":"(Tufaner y Avşar 2016)","previouslyFormattedCitation":"(Tufaner y Avşar 2016)"},"properties":{"noteIndex":0},"schema":"https://github.com/citation-style-language/schema/raw/master/csl-citation.json"}</w:instrText>
      </w:r>
      <w:r w:rsidR="000C358A">
        <w:rPr>
          <w:rFonts w:ascii="Times New Roman" w:hAnsi="Times New Roman" w:cs="Times New Roman"/>
          <w:sz w:val="24"/>
          <w:szCs w:val="24"/>
        </w:rPr>
        <w:fldChar w:fldCharType="separate"/>
      </w:r>
      <w:r w:rsidR="000C358A" w:rsidRPr="000C358A">
        <w:rPr>
          <w:rFonts w:ascii="Times New Roman" w:hAnsi="Times New Roman" w:cs="Times New Roman"/>
          <w:noProof/>
          <w:sz w:val="24"/>
          <w:szCs w:val="24"/>
        </w:rPr>
        <w:t>(Tufaner y Avşar</w:t>
      </w:r>
      <w:r w:rsidR="00C80D09">
        <w:rPr>
          <w:rFonts w:ascii="Times New Roman" w:hAnsi="Times New Roman" w:cs="Times New Roman"/>
          <w:noProof/>
          <w:sz w:val="24"/>
          <w:szCs w:val="24"/>
        </w:rPr>
        <w:t>,</w:t>
      </w:r>
      <w:r w:rsidR="000C358A" w:rsidRPr="000C358A">
        <w:rPr>
          <w:rFonts w:ascii="Times New Roman" w:hAnsi="Times New Roman" w:cs="Times New Roman"/>
          <w:noProof/>
          <w:sz w:val="24"/>
          <w:szCs w:val="24"/>
        </w:rPr>
        <w:t xml:space="preserve"> 2016)</w:t>
      </w:r>
      <w:r w:rsidR="000C358A">
        <w:rPr>
          <w:rFonts w:ascii="Times New Roman" w:hAnsi="Times New Roman" w:cs="Times New Roman"/>
          <w:sz w:val="24"/>
          <w:szCs w:val="24"/>
        </w:rPr>
        <w:fldChar w:fldCharType="end"/>
      </w:r>
      <w:r w:rsidRPr="00686018">
        <w:rPr>
          <w:rFonts w:ascii="Times New Roman" w:hAnsi="Times New Roman" w:cs="Times New Roman"/>
          <w:sz w:val="24"/>
          <w:szCs w:val="24"/>
        </w:rPr>
        <w:t>. Por esta razón, el estiércol animal requiere de una fuente de carbono, siendo el material lignocelulósico un candidato apto para compensar la deficiencia de carbono del estiércol</w:t>
      </w:r>
      <w:r w:rsidR="000C358A">
        <w:rPr>
          <w:rFonts w:ascii="Times New Roman" w:hAnsi="Times New Roman" w:cs="Times New Roman"/>
          <w:sz w:val="24"/>
          <w:szCs w:val="24"/>
        </w:rPr>
        <w:t xml:space="preserve"> </w:t>
      </w:r>
      <w:r w:rsidR="000C358A">
        <w:rPr>
          <w:rFonts w:ascii="Times New Roman" w:hAnsi="Times New Roman" w:cs="Times New Roman"/>
          <w:sz w:val="24"/>
          <w:szCs w:val="24"/>
        </w:rPr>
        <w:fldChar w:fldCharType="begin" w:fldLock="1"/>
      </w:r>
      <w:r w:rsidR="000C358A">
        <w:rPr>
          <w:rFonts w:ascii="Times New Roman" w:hAnsi="Times New Roman" w:cs="Times New Roman"/>
          <w:sz w:val="24"/>
          <w:szCs w:val="24"/>
        </w:rPr>
        <w:instrText>ADDIN CSL_CITATION {"citationItems":[{"id":"ITEM-1","itemData":{"DOI":"10.1111/1751-7915.12298","ISSN":"17517915","abstract":"Responses of bacterial and archaeal communities to the addition of straw during anaerobic digestion of manure at different temperatures (37°C, 44°C and 52°C) were investigated using five laboratory-scale semi-continuous stirred tank reactors. The results revealed that including straw as co-substrate decreased the species richness for bacteria, whereas increasing the operating temperature decreased the species richness for both archaea and bacteria, and also the evenness of the bacteria. Taxonomic classifications of the archaeal community showed that Methanobrevibacter dominated in the manure samples, while Methanosarcina dominated in all digesters regardless of substrate. Increase of the operating temperature to 52°C led to increased relative abundance of Methanoculleus and Methanobacterium. Among the bacteria, the phyla Firmicutes and Bacteroidetes dominated within all samples. Compared with manure itself, digestion of manure resulted in a higher abundance of an uncultured class WWE1 and lower abundance of Bacilli. Adding straw to the digesters increased the level of Bacteroidia, while increasing the operating temperature decreased the level of this class and instead increased the relative abundance of an uncultured genus affiliated to order MBA08 (Clostridia). A considerable fraction of bacterial sequences could not be allocated to genus level, indicating that novel phylotypes are resident in these communities.","author":[{"dropping-particle":"","family":"Sun","given":"Li","non-dropping-particle":"","parse-names":false,"suffix":""},{"dropping-particle":"","family":"Pope","given":"Phillip B.","non-dropping-particle":"","parse-names":false,"suffix":""},{"dropping-particle":"","family":"Eijsink","given":"Vincent G.H.","non-dropping-particle":"","parse-names":false,"suffix":""},{"dropping-particle":"","family":"Schnürer","given":"Anna","non-dropping-particle":"","parse-names":false,"suffix":""}],"container-title":"Microbial Biotechnology","id":"ITEM-1","issue":"5","issued":{"date-parts":[["2015"]]},"page":"815-827","title":"Characterization of microbial community structure during continuous anaerobic digestion of straw and cow manure","type":"article-journal","volume":"8"},"uris":["http://www.mendeley.com/documents/?uuid=79312920-0946-4b75-85de-086cb85915ff"]}],"mendeley":{"formattedCitation":"(Sun et al. 2015)","plainTextFormattedCitation":"(Sun et al. 2015)","previouslyFormattedCitation":"(Sun et al. 2015)"},"properties":{"noteIndex":0},"schema":"https://github.com/citation-style-language/schema/raw/master/csl-citation.json"}</w:instrText>
      </w:r>
      <w:r w:rsidR="000C358A">
        <w:rPr>
          <w:rFonts w:ascii="Times New Roman" w:hAnsi="Times New Roman" w:cs="Times New Roman"/>
          <w:sz w:val="24"/>
          <w:szCs w:val="24"/>
        </w:rPr>
        <w:fldChar w:fldCharType="separate"/>
      </w:r>
      <w:r w:rsidR="000C358A" w:rsidRPr="000C358A">
        <w:rPr>
          <w:rFonts w:ascii="Times New Roman" w:hAnsi="Times New Roman" w:cs="Times New Roman"/>
          <w:noProof/>
          <w:sz w:val="24"/>
          <w:szCs w:val="24"/>
        </w:rPr>
        <w:t xml:space="preserve">(Sun </w:t>
      </w:r>
      <w:r w:rsidR="00C80D09">
        <w:rPr>
          <w:rFonts w:ascii="Times New Roman" w:hAnsi="Times New Roman" w:cs="Times New Roman"/>
          <w:noProof/>
          <w:sz w:val="24"/>
          <w:szCs w:val="24"/>
        </w:rPr>
        <w:t>et al.,</w:t>
      </w:r>
      <w:r w:rsidR="000C358A" w:rsidRPr="000C358A">
        <w:rPr>
          <w:rFonts w:ascii="Times New Roman" w:hAnsi="Times New Roman" w:cs="Times New Roman"/>
          <w:noProof/>
          <w:sz w:val="24"/>
          <w:szCs w:val="24"/>
        </w:rPr>
        <w:t xml:space="preserve"> 2015)</w:t>
      </w:r>
      <w:r w:rsidR="000C358A">
        <w:rPr>
          <w:rFonts w:ascii="Times New Roman" w:hAnsi="Times New Roman" w:cs="Times New Roman"/>
          <w:sz w:val="24"/>
          <w:szCs w:val="24"/>
        </w:rPr>
        <w:fldChar w:fldCharType="end"/>
      </w:r>
      <w:r w:rsidR="0068649D" w:rsidRPr="00686018">
        <w:rPr>
          <w:rFonts w:ascii="Times New Roman" w:hAnsi="Times New Roman" w:cs="Times New Roman"/>
          <w:sz w:val="24"/>
          <w:szCs w:val="24"/>
        </w:rPr>
        <w:t xml:space="preserve">. </w:t>
      </w:r>
      <w:r w:rsidR="0068649D" w:rsidRPr="00686018">
        <w:rPr>
          <w:rFonts w:ascii="Times New Roman" w:hAnsi="Times New Roman" w:cs="Times New Roman"/>
          <w:sz w:val="24"/>
          <w:szCs w:val="24"/>
        </w:rPr>
        <w:fldChar w:fldCharType="begin" w:fldLock="1"/>
      </w:r>
      <w:r w:rsidR="0068649D" w:rsidRPr="00686018">
        <w:rPr>
          <w:rFonts w:ascii="Times New Roman" w:hAnsi="Times New Roman" w:cs="Times New Roman"/>
          <w:sz w:val="24"/>
          <w:szCs w:val="24"/>
        </w:rPr>
        <w:instrText>ADDIN CSL_CITATION {"citationItems":[{"id":"ITEM-1","itemData":{"DOI":"10.1016/j.egypro.2017.12.012","ISSN":"18766102","abstract":"The anaerobic digestion (AD) process is being increasingly recognised as a technology for clean energy generation. However, in Ecuador, there is a little application of this technology due to lack of adequate research, economic incentives and the current relatively low price of electricity. This study examined the feasibility of biogas production using anaerobic co-digestion of food waste (FW) and primary sludge (PS) under thermophilic (55 °C) and mesophilic (35 °C) conditions. The biogas is then used for power and heat generation. Using case study approach, data were collected from Riobamba vegetable market and Penipe waste treatment plant in Ecuador. Three different mixing ratios of FW: PS were used (1:2, 1:1 and 2:1) with volatile solids (VS) content of 84.53%, 86.99%, and 89.6% respectively. Furthermore, the organic loading rates (OLR) used were 2.08, 2.49 and 3.34 gvs 1-1day-1for the above mixing ratios with a hydraulic retention time (HRT) of 21 days. Computational models of biogas production and a combined heat and power (CHP) system were developed using Aspen Plus software. Results indicated that a mixing ratio of 1:2 and mass flow of 132.42 tonnes/day, the maximum specific methane production obtained was 270 and 205 ml CH4/ gVSat thermophilic and mesophilic conditions respectively. The power production with the aforementioned values were 188.42 and 137.79 kW for both thermal conditions. Finally, an economic analysis for both scenarios was carried out using Ecuadorian renewable energy tariffs. A positive NPV values of £147,580 and £186,307 with a discounted payback period of 20.97 and 17.33 years were obtained for both scenarios respectively, assuming that the interest rate was 4.89% and a lifetime of 25 years.","author":[{"dropping-particle":"","family":"Aguilar","given":"Marcelo Calispa","non-dropping-particle":"","parse-names":false,"suffix":""},{"dropping-particle":"","family":"Wang","given":"Yao Dong","non-dropping-particle":"","parse-names":false,"suffix":""},{"dropping-particle":"","family":"Roskilly","given":"Tony","non-dropping-particle":"","parse-names":false,"suffix":""},{"dropping-particle":"","family":"Pathare","given":"Pankaj B.","non-dropping-particle":"","parse-names":false,"suffix":""},{"dropping-particle":"","family":"Lamidi","given":"Rasaq O.","non-dropping-particle":"","parse-names":false,"suffix":""}],"container-title":"Energy Procedia","id":"ITEM-1","issued":{"date-parts":[["2017"]]},"page":"70-76","publisher":"Elsevier B.V.","title":"Biogas from anaerobic co-digestion of food waste and primary sludge for cogeneration of power and heat","type":"article-journal","volume":"142"},"uris":["http://www.mendeley.com/documents/?uuid=8d4ade09-523c-4f52-8f93-a7f3911c0da7"]}],"mendeley":{"formattedCitation":"(Aguilar et al. 2017)","plainTextFormattedCitation":"(Aguilar et al. 2017)","previouslyFormattedCitation":"(Aguilar et al. 2017)"},"properties":{"noteIndex":0},"schema":"https://github.com/citation-style-language/schema/raw/master/csl-citation.json"}</w:instrText>
      </w:r>
      <w:r w:rsidR="0068649D" w:rsidRPr="00686018">
        <w:rPr>
          <w:rFonts w:ascii="Times New Roman" w:hAnsi="Times New Roman" w:cs="Times New Roman"/>
          <w:sz w:val="24"/>
          <w:szCs w:val="24"/>
        </w:rPr>
        <w:fldChar w:fldCharType="separate"/>
      </w:r>
      <w:r w:rsidR="0068649D" w:rsidRPr="00686018">
        <w:rPr>
          <w:rFonts w:ascii="Times New Roman" w:hAnsi="Times New Roman" w:cs="Times New Roman"/>
          <w:noProof/>
          <w:sz w:val="24"/>
          <w:szCs w:val="24"/>
        </w:rPr>
        <w:t xml:space="preserve">(Aguilar </w:t>
      </w:r>
      <w:r w:rsidR="00C80D09">
        <w:rPr>
          <w:rFonts w:ascii="Times New Roman" w:hAnsi="Times New Roman" w:cs="Times New Roman"/>
          <w:noProof/>
          <w:sz w:val="24"/>
          <w:szCs w:val="24"/>
        </w:rPr>
        <w:t>et al.,</w:t>
      </w:r>
      <w:r w:rsidR="0068649D" w:rsidRPr="00686018">
        <w:rPr>
          <w:rFonts w:ascii="Times New Roman" w:hAnsi="Times New Roman" w:cs="Times New Roman"/>
          <w:noProof/>
          <w:sz w:val="24"/>
          <w:szCs w:val="24"/>
        </w:rPr>
        <w:t xml:space="preserve"> 2017)</w:t>
      </w:r>
      <w:r w:rsidR="0068649D" w:rsidRPr="00686018">
        <w:rPr>
          <w:rFonts w:ascii="Times New Roman" w:hAnsi="Times New Roman" w:cs="Times New Roman"/>
          <w:sz w:val="24"/>
          <w:szCs w:val="24"/>
        </w:rPr>
        <w:fldChar w:fldCharType="end"/>
      </w:r>
      <w:r w:rsidR="0068649D" w:rsidRPr="00686018">
        <w:rPr>
          <w:rFonts w:ascii="Times New Roman" w:hAnsi="Times New Roman" w:cs="Times New Roman"/>
          <w:sz w:val="24"/>
          <w:szCs w:val="24"/>
        </w:rPr>
        <w:t xml:space="preserve">, </w:t>
      </w:r>
      <w:r w:rsidR="00EF6C33" w:rsidRPr="00686018">
        <w:rPr>
          <w:rFonts w:ascii="Times New Roman" w:hAnsi="Times New Roman" w:cs="Times New Roman"/>
          <w:sz w:val="24"/>
          <w:szCs w:val="24"/>
        </w:rPr>
        <w:t>estudió</w:t>
      </w:r>
      <w:r w:rsidRPr="00686018">
        <w:rPr>
          <w:rFonts w:ascii="Times New Roman" w:hAnsi="Times New Roman" w:cs="Times New Roman"/>
          <w:sz w:val="24"/>
          <w:szCs w:val="24"/>
        </w:rPr>
        <w:t xml:space="preserve"> la producción de biogás y posterior generación de potencia y calor a partir de la codigestión de residuos alimentarios y lodos primarios.</w:t>
      </w:r>
    </w:p>
    <w:p w:rsidR="00906ED6" w:rsidRPr="00686018" w:rsidRDefault="00906ED6"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lastRenderedPageBreak/>
        <w:t>Por tal motivo el objetivo de esta investigación es r</w:t>
      </w:r>
      <w:r w:rsidR="00DF46F4" w:rsidRPr="00686018">
        <w:rPr>
          <w:rFonts w:ascii="Times New Roman" w:hAnsi="Times New Roman" w:cs="Times New Roman"/>
          <w:sz w:val="24"/>
          <w:szCs w:val="24"/>
        </w:rPr>
        <w:t xml:space="preserve">ealizar la codigestión anaerobia de residuo ruminal de vacas faenadas junto con paja de trigo para la producción de biogás a escala de </w:t>
      </w:r>
      <w:r w:rsidRPr="00686018">
        <w:rPr>
          <w:rFonts w:ascii="Times New Roman" w:hAnsi="Times New Roman" w:cs="Times New Roman"/>
          <w:sz w:val="24"/>
          <w:szCs w:val="24"/>
        </w:rPr>
        <w:t>laboratorio. Dentro de la investigación se planteó además los siguientes objetivos:</w:t>
      </w:r>
    </w:p>
    <w:p w:rsidR="00DF46F4" w:rsidRPr="00686018" w:rsidRDefault="00DF46F4" w:rsidP="00A31608">
      <w:pPr>
        <w:pStyle w:val="Prrafodelista"/>
        <w:numPr>
          <w:ilvl w:val="0"/>
          <w:numId w:val="28"/>
        </w:numPr>
        <w:jc w:val="both"/>
        <w:rPr>
          <w:rFonts w:ascii="Times New Roman" w:hAnsi="Times New Roman" w:cs="Times New Roman"/>
          <w:sz w:val="24"/>
          <w:szCs w:val="24"/>
        </w:rPr>
      </w:pPr>
      <w:r w:rsidRPr="00686018">
        <w:rPr>
          <w:rFonts w:ascii="Times New Roman" w:hAnsi="Times New Roman" w:cs="Times New Roman"/>
          <w:sz w:val="24"/>
          <w:szCs w:val="24"/>
        </w:rPr>
        <w:t>Efectuar el análisis proximal, elemental y fisicoquímico del inóculo (lodo de depuradora), residuo ruminal y material lignocelulósico (paja de trigo).</w:t>
      </w:r>
    </w:p>
    <w:p w:rsidR="00DF46F4" w:rsidRPr="00686018" w:rsidRDefault="00DF46F4" w:rsidP="00A31608">
      <w:pPr>
        <w:pStyle w:val="Prrafodelista"/>
        <w:numPr>
          <w:ilvl w:val="0"/>
          <w:numId w:val="28"/>
        </w:numPr>
        <w:jc w:val="both"/>
        <w:rPr>
          <w:rFonts w:ascii="Times New Roman" w:hAnsi="Times New Roman" w:cs="Times New Roman"/>
          <w:sz w:val="24"/>
          <w:szCs w:val="24"/>
        </w:rPr>
      </w:pPr>
      <w:r w:rsidRPr="00686018">
        <w:rPr>
          <w:rFonts w:ascii="Times New Roman" w:hAnsi="Times New Roman" w:cs="Times New Roman"/>
          <w:sz w:val="24"/>
          <w:szCs w:val="24"/>
        </w:rPr>
        <w:t xml:space="preserve">Determinar la producción diaria y acumulada de biogás a temperatura </w:t>
      </w:r>
      <w:r w:rsidR="00F15885" w:rsidRPr="00686018">
        <w:rPr>
          <w:rFonts w:ascii="Times New Roman" w:hAnsi="Times New Roman" w:cs="Times New Roman"/>
          <w:sz w:val="24"/>
          <w:szCs w:val="24"/>
        </w:rPr>
        <w:t>mesofílica</w:t>
      </w:r>
      <w:r w:rsidRPr="00686018">
        <w:rPr>
          <w:rFonts w:ascii="Times New Roman" w:hAnsi="Times New Roman" w:cs="Times New Roman"/>
          <w:sz w:val="24"/>
          <w:szCs w:val="24"/>
        </w:rPr>
        <w:t xml:space="preserve"> empleando diferentes relaciones inoculo/sustrato y concentraciones diferentes de residuo ruminal a paja de trigo, en base a una carga orgánica fija y un rango de pH óptimo.</w:t>
      </w:r>
    </w:p>
    <w:p w:rsidR="00DF46F4" w:rsidRPr="00686018" w:rsidRDefault="00DF46F4" w:rsidP="00A31608">
      <w:pPr>
        <w:pStyle w:val="Prrafodelista"/>
        <w:numPr>
          <w:ilvl w:val="0"/>
          <w:numId w:val="28"/>
        </w:numPr>
        <w:jc w:val="both"/>
        <w:rPr>
          <w:rFonts w:ascii="Times New Roman" w:hAnsi="Times New Roman" w:cs="Times New Roman"/>
          <w:sz w:val="24"/>
          <w:szCs w:val="24"/>
        </w:rPr>
      </w:pPr>
      <w:r w:rsidRPr="00686018">
        <w:rPr>
          <w:rFonts w:ascii="Times New Roman" w:hAnsi="Times New Roman" w:cs="Times New Roman"/>
          <w:sz w:val="24"/>
          <w:szCs w:val="24"/>
        </w:rPr>
        <w:t>Definir el cambio y efecto de la relación C/N que ocurrirá durante la codigestión del residuo ruminal y paja de trigo en la producción de biogás.</w:t>
      </w:r>
    </w:p>
    <w:p w:rsidR="00DF46F4" w:rsidRPr="00686018" w:rsidRDefault="00DF46F4" w:rsidP="00A31608">
      <w:pPr>
        <w:pStyle w:val="Prrafodelista"/>
        <w:numPr>
          <w:ilvl w:val="0"/>
          <w:numId w:val="28"/>
        </w:numPr>
        <w:jc w:val="both"/>
        <w:rPr>
          <w:rFonts w:ascii="Times New Roman" w:hAnsi="Times New Roman" w:cs="Times New Roman"/>
          <w:sz w:val="24"/>
          <w:szCs w:val="24"/>
        </w:rPr>
      </w:pPr>
      <w:r w:rsidRPr="00686018">
        <w:rPr>
          <w:rFonts w:ascii="Times New Roman" w:hAnsi="Times New Roman" w:cs="Times New Roman"/>
          <w:sz w:val="24"/>
          <w:szCs w:val="24"/>
        </w:rPr>
        <w:t>Medir el Índice de efecto sinérgico y biodegradabilidad de la materia orgánica en las diferentes concentraciones de residuo ruminal y paja de trigo.</w:t>
      </w:r>
    </w:p>
    <w:p w:rsidR="00DF46F4" w:rsidRPr="00686018" w:rsidRDefault="00DF46F4" w:rsidP="00A31608">
      <w:pPr>
        <w:pStyle w:val="Prrafodelista"/>
        <w:numPr>
          <w:ilvl w:val="0"/>
          <w:numId w:val="28"/>
        </w:numPr>
        <w:jc w:val="both"/>
        <w:rPr>
          <w:rFonts w:ascii="Times New Roman" w:hAnsi="Times New Roman" w:cs="Times New Roman"/>
          <w:sz w:val="24"/>
          <w:szCs w:val="24"/>
        </w:rPr>
      </w:pPr>
      <w:r w:rsidRPr="00686018">
        <w:rPr>
          <w:rFonts w:ascii="Times New Roman" w:hAnsi="Times New Roman" w:cs="Times New Roman"/>
          <w:sz w:val="24"/>
          <w:szCs w:val="24"/>
        </w:rPr>
        <w:t>Realizar el contraste de la cinética de la producción de biogás, mediante el empleo de los modelos cinéticos comúnmente aplicados.</w:t>
      </w:r>
    </w:p>
    <w:p w:rsidR="008033D3" w:rsidRPr="00686018" w:rsidRDefault="008033D3" w:rsidP="00A31608">
      <w:pPr>
        <w:tabs>
          <w:tab w:val="center" w:pos="4252"/>
        </w:tabs>
        <w:jc w:val="both"/>
        <w:rPr>
          <w:rFonts w:ascii="Times New Roman" w:hAnsi="Times New Roman" w:cs="Times New Roman"/>
          <w:sz w:val="24"/>
          <w:szCs w:val="24"/>
        </w:rPr>
      </w:pPr>
    </w:p>
    <w:p w:rsidR="00DF46F4" w:rsidRPr="00686018" w:rsidRDefault="00DF46F4" w:rsidP="00A31608">
      <w:pPr>
        <w:tabs>
          <w:tab w:val="center" w:pos="4252"/>
        </w:tabs>
        <w:jc w:val="both"/>
        <w:rPr>
          <w:rFonts w:ascii="Times New Roman" w:hAnsi="Times New Roman" w:cs="Times New Roman"/>
          <w:sz w:val="24"/>
          <w:szCs w:val="24"/>
        </w:rPr>
      </w:pPr>
    </w:p>
    <w:p w:rsidR="00DF46F4" w:rsidRPr="00686018" w:rsidRDefault="00DF46F4" w:rsidP="00A31608">
      <w:pPr>
        <w:tabs>
          <w:tab w:val="center" w:pos="4252"/>
        </w:tabs>
        <w:jc w:val="both"/>
        <w:rPr>
          <w:rFonts w:ascii="Times New Roman" w:hAnsi="Times New Roman" w:cs="Times New Roman"/>
          <w:sz w:val="24"/>
          <w:szCs w:val="24"/>
        </w:rPr>
      </w:pPr>
    </w:p>
    <w:p w:rsidR="00DF46F4" w:rsidRPr="00686018" w:rsidRDefault="00DF46F4" w:rsidP="00A31608">
      <w:pPr>
        <w:tabs>
          <w:tab w:val="center" w:pos="4252"/>
        </w:tabs>
        <w:jc w:val="both"/>
        <w:rPr>
          <w:rFonts w:ascii="Times New Roman" w:hAnsi="Times New Roman" w:cs="Times New Roman"/>
          <w:sz w:val="24"/>
          <w:szCs w:val="24"/>
        </w:rPr>
      </w:pPr>
    </w:p>
    <w:p w:rsidR="00DF46F4" w:rsidRPr="00686018" w:rsidRDefault="00DF46F4" w:rsidP="00A31608">
      <w:pPr>
        <w:tabs>
          <w:tab w:val="center" w:pos="4252"/>
        </w:tabs>
        <w:jc w:val="both"/>
        <w:rPr>
          <w:rFonts w:ascii="Times New Roman" w:hAnsi="Times New Roman" w:cs="Times New Roman"/>
          <w:sz w:val="24"/>
          <w:szCs w:val="24"/>
        </w:rPr>
      </w:pPr>
    </w:p>
    <w:p w:rsidR="00DF46F4" w:rsidRPr="00686018" w:rsidRDefault="00DF46F4" w:rsidP="00A31608">
      <w:pPr>
        <w:tabs>
          <w:tab w:val="center" w:pos="4252"/>
        </w:tabs>
        <w:jc w:val="both"/>
        <w:rPr>
          <w:rFonts w:ascii="Times New Roman" w:hAnsi="Times New Roman" w:cs="Times New Roman"/>
          <w:sz w:val="24"/>
          <w:szCs w:val="24"/>
        </w:rPr>
      </w:pPr>
    </w:p>
    <w:p w:rsidR="00DF46F4" w:rsidRPr="00686018" w:rsidRDefault="00DF46F4" w:rsidP="00A31608">
      <w:pPr>
        <w:tabs>
          <w:tab w:val="center" w:pos="4252"/>
        </w:tabs>
        <w:jc w:val="both"/>
        <w:rPr>
          <w:rFonts w:ascii="Times New Roman" w:hAnsi="Times New Roman" w:cs="Times New Roman"/>
          <w:sz w:val="24"/>
          <w:szCs w:val="24"/>
        </w:rPr>
      </w:pPr>
    </w:p>
    <w:p w:rsidR="00DF46F4" w:rsidRPr="00686018" w:rsidRDefault="00DF46F4" w:rsidP="00A31608">
      <w:pPr>
        <w:tabs>
          <w:tab w:val="center" w:pos="4252"/>
        </w:tabs>
        <w:jc w:val="both"/>
        <w:rPr>
          <w:rFonts w:ascii="Times New Roman" w:hAnsi="Times New Roman" w:cs="Times New Roman"/>
          <w:sz w:val="24"/>
          <w:szCs w:val="24"/>
        </w:rPr>
      </w:pPr>
    </w:p>
    <w:p w:rsidR="00DF46F4" w:rsidRPr="00686018" w:rsidRDefault="00DF46F4" w:rsidP="00A31608">
      <w:pPr>
        <w:tabs>
          <w:tab w:val="center" w:pos="4252"/>
        </w:tabs>
        <w:jc w:val="both"/>
        <w:rPr>
          <w:rFonts w:ascii="Times New Roman" w:hAnsi="Times New Roman" w:cs="Times New Roman"/>
          <w:sz w:val="24"/>
          <w:szCs w:val="24"/>
        </w:rPr>
      </w:pPr>
    </w:p>
    <w:p w:rsidR="00906ED6" w:rsidRPr="00686018" w:rsidRDefault="00906ED6" w:rsidP="00A31608">
      <w:pPr>
        <w:tabs>
          <w:tab w:val="center" w:pos="4252"/>
        </w:tabs>
        <w:jc w:val="both"/>
        <w:rPr>
          <w:rFonts w:ascii="Times New Roman" w:hAnsi="Times New Roman" w:cs="Times New Roman"/>
          <w:sz w:val="24"/>
          <w:szCs w:val="24"/>
        </w:rPr>
      </w:pPr>
    </w:p>
    <w:p w:rsidR="00906ED6" w:rsidRPr="00686018" w:rsidRDefault="00906ED6" w:rsidP="00A31608">
      <w:pPr>
        <w:tabs>
          <w:tab w:val="center" w:pos="4252"/>
        </w:tabs>
        <w:jc w:val="both"/>
        <w:rPr>
          <w:rFonts w:ascii="Times New Roman" w:hAnsi="Times New Roman" w:cs="Times New Roman"/>
          <w:sz w:val="24"/>
          <w:szCs w:val="24"/>
        </w:rPr>
      </w:pPr>
    </w:p>
    <w:p w:rsidR="00906ED6" w:rsidRPr="00686018" w:rsidRDefault="00906ED6" w:rsidP="00A31608">
      <w:pPr>
        <w:tabs>
          <w:tab w:val="center" w:pos="4252"/>
        </w:tabs>
        <w:jc w:val="both"/>
        <w:rPr>
          <w:rFonts w:ascii="Times New Roman" w:hAnsi="Times New Roman" w:cs="Times New Roman"/>
          <w:sz w:val="24"/>
          <w:szCs w:val="24"/>
        </w:rPr>
      </w:pPr>
    </w:p>
    <w:p w:rsidR="00906ED6" w:rsidRDefault="00906ED6" w:rsidP="00A31608">
      <w:pPr>
        <w:tabs>
          <w:tab w:val="center" w:pos="4252"/>
        </w:tabs>
        <w:jc w:val="both"/>
        <w:rPr>
          <w:rFonts w:ascii="Times New Roman" w:hAnsi="Times New Roman" w:cs="Times New Roman"/>
          <w:sz w:val="24"/>
          <w:szCs w:val="24"/>
        </w:rPr>
      </w:pPr>
    </w:p>
    <w:p w:rsidR="000559C4" w:rsidRPr="00686018" w:rsidRDefault="000559C4" w:rsidP="00A31608">
      <w:pPr>
        <w:tabs>
          <w:tab w:val="center" w:pos="4252"/>
        </w:tabs>
        <w:jc w:val="both"/>
        <w:rPr>
          <w:rFonts w:ascii="Times New Roman" w:hAnsi="Times New Roman" w:cs="Times New Roman"/>
          <w:sz w:val="24"/>
          <w:szCs w:val="24"/>
        </w:rPr>
      </w:pPr>
    </w:p>
    <w:p w:rsidR="00906ED6" w:rsidRPr="00686018" w:rsidRDefault="00906ED6" w:rsidP="00A31608">
      <w:pPr>
        <w:tabs>
          <w:tab w:val="center" w:pos="4252"/>
        </w:tabs>
        <w:jc w:val="both"/>
        <w:rPr>
          <w:rFonts w:ascii="Times New Roman" w:hAnsi="Times New Roman" w:cs="Times New Roman"/>
          <w:sz w:val="24"/>
          <w:szCs w:val="24"/>
        </w:rPr>
      </w:pPr>
    </w:p>
    <w:p w:rsidR="00906ED6" w:rsidRPr="00686018" w:rsidRDefault="00906ED6" w:rsidP="00A31608">
      <w:pPr>
        <w:tabs>
          <w:tab w:val="center" w:pos="4252"/>
        </w:tabs>
        <w:jc w:val="both"/>
        <w:rPr>
          <w:rFonts w:ascii="Times New Roman" w:hAnsi="Times New Roman" w:cs="Times New Roman"/>
          <w:sz w:val="24"/>
          <w:szCs w:val="24"/>
        </w:rPr>
      </w:pPr>
    </w:p>
    <w:p w:rsidR="00906ED6" w:rsidRPr="00686018" w:rsidRDefault="00906ED6" w:rsidP="00A31608">
      <w:pPr>
        <w:tabs>
          <w:tab w:val="center" w:pos="4252"/>
        </w:tabs>
        <w:jc w:val="both"/>
        <w:rPr>
          <w:rFonts w:ascii="Times New Roman" w:hAnsi="Times New Roman" w:cs="Times New Roman"/>
          <w:sz w:val="24"/>
          <w:szCs w:val="24"/>
        </w:rPr>
      </w:pPr>
    </w:p>
    <w:p w:rsidR="00353593" w:rsidRPr="00312D49" w:rsidRDefault="003538F6" w:rsidP="00312D49">
      <w:pPr>
        <w:pStyle w:val="Ttulo1"/>
      </w:pPr>
      <w:bookmarkStart w:id="28" w:name="_Toc534724621"/>
      <w:bookmarkStart w:id="29" w:name="_Toc534817229"/>
      <w:bookmarkStart w:id="30" w:name="_Toc534817412"/>
      <w:bookmarkStart w:id="31" w:name="_Toc534817719"/>
      <w:bookmarkStart w:id="32" w:name="_Toc535410422"/>
      <w:bookmarkStart w:id="33" w:name="_Toc535410488"/>
      <w:bookmarkStart w:id="34" w:name="_Toc9537774"/>
      <w:r w:rsidRPr="00312D49">
        <w:lastRenderedPageBreak/>
        <w:t>CAPITULO II</w:t>
      </w:r>
      <w:bookmarkEnd w:id="28"/>
      <w:bookmarkEnd w:id="29"/>
      <w:bookmarkEnd w:id="30"/>
      <w:bookmarkEnd w:id="31"/>
      <w:bookmarkEnd w:id="32"/>
      <w:bookmarkEnd w:id="33"/>
      <w:bookmarkEnd w:id="34"/>
    </w:p>
    <w:p w:rsidR="00E8471B" w:rsidRPr="00686018" w:rsidRDefault="00E8471B" w:rsidP="00A31608">
      <w:pPr>
        <w:pStyle w:val="Ttulo2"/>
        <w:numPr>
          <w:ilvl w:val="0"/>
          <w:numId w:val="4"/>
        </w:numPr>
        <w:jc w:val="both"/>
        <w:rPr>
          <w:rFonts w:cs="Times New Roman"/>
        </w:rPr>
      </w:pPr>
      <w:bookmarkStart w:id="35" w:name="_Toc534817230"/>
      <w:bookmarkStart w:id="36" w:name="_Toc534817413"/>
      <w:bookmarkStart w:id="37" w:name="_Toc534817720"/>
      <w:bookmarkStart w:id="38" w:name="_Toc535410423"/>
      <w:bookmarkStart w:id="39" w:name="_Toc535410489"/>
      <w:bookmarkStart w:id="40" w:name="_Toc9537775"/>
      <w:r w:rsidRPr="00686018">
        <w:rPr>
          <w:rFonts w:cs="Times New Roman"/>
        </w:rPr>
        <w:t>PROBLEMA</w:t>
      </w:r>
      <w:bookmarkEnd w:id="35"/>
      <w:bookmarkEnd w:id="36"/>
      <w:bookmarkEnd w:id="37"/>
      <w:bookmarkEnd w:id="38"/>
      <w:bookmarkEnd w:id="39"/>
      <w:bookmarkEnd w:id="40"/>
    </w:p>
    <w:p w:rsidR="00906ED6" w:rsidRPr="00686018" w:rsidRDefault="00906ED6" w:rsidP="00A31608">
      <w:pPr>
        <w:pStyle w:val="Ttulo3"/>
        <w:numPr>
          <w:ilvl w:val="1"/>
          <w:numId w:val="4"/>
        </w:numPr>
        <w:ind w:left="431" w:hanging="431"/>
        <w:jc w:val="both"/>
        <w:rPr>
          <w:rFonts w:ascii="Times New Roman" w:hAnsi="Times New Roman" w:cs="Times New Roman"/>
          <w:i w:val="0"/>
        </w:rPr>
      </w:pPr>
      <w:bookmarkStart w:id="41" w:name="_Toc9537776"/>
      <w:r w:rsidRPr="00686018">
        <w:rPr>
          <w:rFonts w:ascii="Times New Roman" w:hAnsi="Times New Roman" w:cs="Times New Roman"/>
          <w:i w:val="0"/>
        </w:rPr>
        <w:t>Planteamiento del Problema</w:t>
      </w:r>
      <w:bookmarkEnd w:id="41"/>
    </w:p>
    <w:p w:rsidR="00096F3F" w:rsidRPr="00686018" w:rsidRDefault="00BB6916" w:rsidP="00A31608">
      <w:pPr>
        <w:jc w:val="both"/>
        <w:rPr>
          <w:rFonts w:ascii="Times New Roman" w:hAnsi="Times New Roman" w:cs="Times New Roman"/>
          <w:sz w:val="24"/>
        </w:rPr>
      </w:pPr>
      <w:r w:rsidRPr="00686018">
        <w:rPr>
          <w:rFonts w:ascii="Times New Roman" w:hAnsi="Times New Roman" w:cs="Times New Roman"/>
          <w:sz w:val="24"/>
        </w:rPr>
        <w:t>La pr</w:t>
      </w:r>
      <w:r w:rsidR="00536ABE" w:rsidRPr="00686018">
        <w:rPr>
          <w:rFonts w:ascii="Times New Roman" w:hAnsi="Times New Roman" w:cs="Times New Roman"/>
          <w:sz w:val="24"/>
        </w:rPr>
        <w:t>oducción de ganado en la Provincia Bolívar</w:t>
      </w:r>
      <w:r w:rsidRPr="00686018">
        <w:rPr>
          <w:rFonts w:ascii="Times New Roman" w:hAnsi="Times New Roman" w:cs="Times New Roman"/>
          <w:sz w:val="24"/>
        </w:rPr>
        <w:t xml:space="preserve"> está enfocada principalmente en </w:t>
      </w:r>
      <w:r w:rsidR="00536ABE" w:rsidRPr="00686018">
        <w:rPr>
          <w:rFonts w:ascii="Times New Roman" w:hAnsi="Times New Roman" w:cs="Times New Roman"/>
          <w:sz w:val="24"/>
        </w:rPr>
        <w:t>vacas, cerdos y</w:t>
      </w:r>
      <w:r w:rsidRPr="00686018">
        <w:rPr>
          <w:rFonts w:ascii="Times New Roman" w:hAnsi="Times New Roman" w:cs="Times New Roman"/>
          <w:sz w:val="24"/>
        </w:rPr>
        <w:t xml:space="preserve"> </w:t>
      </w:r>
      <w:r w:rsidR="00536ABE" w:rsidRPr="00686018">
        <w:rPr>
          <w:rFonts w:ascii="Times New Roman" w:hAnsi="Times New Roman" w:cs="Times New Roman"/>
          <w:sz w:val="24"/>
        </w:rPr>
        <w:t>ovejas. En el 2016</w:t>
      </w:r>
      <w:r w:rsidR="00BF3E78" w:rsidRPr="00686018">
        <w:rPr>
          <w:rFonts w:ascii="Times New Roman" w:hAnsi="Times New Roman" w:cs="Times New Roman"/>
          <w:sz w:val="24"/>
        </w:rPr>
        <w:t xml:space="preserve"> se producían</w:t>
      </w:r>
      <w:r w:rsidRPr="00686018">
        <w:rPr>
          <w:rFonts w:ascii="Times New Roman" w:hAnsi="Times New Roman" w:cs="Times New Roman"/>
          <w:sz w:val="24"/>
        </w:rPr>
        <w:t xml:space="preserve">, aproximadamente </w:t>
      </w:r>
      <w:r w:rsidR="00536ABE" w:rsidRPr="00686018">
        <w:rPr>
          <w:rFonts w:ascii="Times New Roman" w:hAnsi="Times New Roman" w:cs="Times New Roman"/>
          <w:sz w:val="24"/>
        </w:rPr>
        <w:t>167922</w:t>
      </w:r>
      <w:r w:rsidRPr="00686018">
        <w:rPr>
          <w:rFonts w:ascii="Times New Roman" w:hAnsi="Times New Roman" w:cs="Times New Roman"/>
          <w:sz w:val="24"/>
        </w:rPr>
        <w:t xml:space="preserve"> </w:t>
      </w:r>
      <w:r w:rsidR="00536ABE" w:rsidRPr="00686018">
        <w:rPr>
          <w:rFonts w:ascii="Times New Roman" w:hAnsi="Times New Roman" w:cs="Times New Roman"/>
          <w:sz w:val="24"/>
        </w:rPr>
        <w:t>cabezas</w:t>
      </w:r>
      <w:r w:rsidRPr="00686018">
        <w:rPr>
          <w:rFonts w:ascii="Times New Roman" w:hAnsi="Times New Roman" w:cs="Times New Roman"/>
          <w:sz w:val="24"/>
        </w:rPr>
        <w:t xml:space="preserve"> de</w:t>
      </w:r>
      <w:r w:rsidR="00536ABE" w:rsidRPr="00686018">
        <w:rPr>
          <w:rFonts w:ascii="Times New Roman" w:hAnsi="Times New Roman" w:cs="Times New Roman"/>
          <w:sz w:val="24"/>
        </w:rPr>
        <w:t xml:space="preserve"> </w:t>
      </w:r>
      <w:r w:rsidR="003D20D1" w:rsidRPr="00686018">
        <w:rPr>
          <w:rFonts w:ascii="Times New Roman" w:hAnsi="Times New Roman" w:cs="Times New Roman"/>
          <w:sz w:val="24"/>
        </w:rPr>
        <w:t>ganado vacuno</w:t>
      </w:r>
      <w:r w:rsidR="00536ABE" w:rsidRPr="00686018">
        <w:rPr>
          <w:rFonts w:ascii="Times New Roman" w:hAnsi="Times New Roman" w:cs="Times New Roman"/>
          <w:sz w:val="24"/>
        </w:rPr>
        <w:t xml:space="preserve">, </w:t>
      </w:r>
      <w:r w:rsidR="006B1E04" w:rsidRPr="00686018">
        <w:rPr>
          <w:rFonts w:ascii="Times New Roman" w:hAnsi="Times New Roman" w:cs="Times New Roman"/>
          <w:sz w:val="24"/>
        </w:rPr>
        <w:t>40</w:t>
      </w:r>
      <w:r w:rsidR="00451E01" w:rsidRPr="00686018">
        <w:rPr>
          <w:rFonts w:ascii="Times New Roman" w:hAnsi="Times New Roman" w:cs="Times New Roman"/>
          <w:sz w:val="24"/>
        </w:rPr>
        <w:t xml:space="preserve">415, cabezas de </w:t>
      </w:r>
      <w:r w:rsidR="003D20D1" w:rsidRPr="00686018">
        <w:rPr>
          <w:rFonts w:ascii="Times New Roman" w:hAnsi="Times New Roman" w:cs="Times New Roman"/>
          <w:sz w:val="24"/>
        </w:rPr>
        <w:t>ganado porcino</w:t>
      </w:r>
      <w:r w:rsidR="00451E01" w:rsidRPr="00686018">
        <w:rPr>
          <w:rFonts w:ascii="Times New Roman" w:hAnsi="Times New Roman" w:cs="Times New Roman"/>
          <w:sz w:val="24"/>
        </w:rPr>
        <w:t xml:space="preserve"> y 22</w:t>
      </w:r>
      <w:r w:rsidR="0045425B" w:rsidRPr="00686018">
        <w:rPr>
          <w:rFonts w:ascii="Times New Roman" w:hAnsi="Times New Roman" w:cs="Times New Roman"/>
          <w:sz w:val="24"/>
        </w:rPr>
        <w:t xml:space="preserve">809 cabezas de </w:t>
      </w:r>
      <w:r w:rsidR="003D20D1" w:rsidRPr="00686018">
        <w:rPr>
          <w:rFonts w:ascii="Times New Roman" w:hAnsi="Times New Roman" w:cs="Times New Roman"/>
          <w:sz w:val="24"/>
        </w:rPr>
        <w:t>ganado ovino</w:t>
      </w:r>
      <w:r w:rsidRPr="00686018">
        <w:rPr>
          <w:rFonts w:ascii="Times New Roman" w:hAnsi="Times New Roman" w:cs="Times New Roman"/>
          <w:sz w:val="24"/>
        </w:rPr>
        <w:t xml:space="preserve">, el cual es </w:t>
      </w:r>
      <w:r w:rsidR="00672EB9" w:rsidRPr="00686018">
        <w:rPr>
          <w:rFonts w:ascii="Times New Roman" w:hAnsi="Times New Roman" w:cs="Times New Roman"/>
          <w:sz w:val="24"/>
        </w:rPr>
        <w:t xml:space="preserve">11 </w:t>
      </w:r>
      <w:r w:rsidR="0045425B" w:rsidRPr="00686018">
        <w:rPr>
          <w:rFonts w:ascii="Times New Roman" w:hAnsi="Times New Roman" w:cs="Times New Roman"/>
          <w:sz w:val="24"/>
        </w:rPr>
        <w:t>,17 y 23,5</w:t>
      </w:r>
      <w:r w:rsidR="006B1E04" w:rsidRPr="00686018">
        <w:rPr>
          <w:rFonts w:ascii="Times New Roman" w:hAnsi="Times New Roman" w:cs="Times New Roman"/>
          <w:sz w:val="24"/>
        </w:rPr>
        <w:t>%</w:t>
      </w:r>
      <w:r w:rsidR="0045425B" w:rsidRPr="00686018">
        <w:rPr>
          <w:rFonts w:ascii="Times New Roman" w:hAnsi="Times New Roman" w:cs="Times New Roman"/>
          <w:sz w:val="24"/>
        </w:rPr>
        <w:t xml:space="preserve"> más para el año 2017</w:t>
      </w:r>
      <w:r w:rsidR="00097DD6">
        <w:rPr>
          <w:rFonts w:ascii="Times New Roman" w:hAnsi="Times New Roman" w:cs="Times New Roman"/>
          <w:sz w:val="24"/>
        </w:rPr>
        <w:t xml:space="preserve"> </w:t>
      </w:r>
      <w:r w:rsidR="00097DD6">
        <w:rPr>
          <w:rFonts w:ascii="Times New Roman" w:hAnsi="Times New Roman" w:cs="Times New Roman"/>
          <w:sz w:val="24"/>
        </w:rPr>
        <w:fldChar w:fldCharType="begin" w:fldLock="1"/>
      </w:r>
      <w:r w:rsidR="00976D5E">
        <w:rPr>
          <w:rFonts w:ascii="Times New Roman" w:hAnsi="Times New Roman" w:cs="Times New Roman"/>
          <w:sz w:val="24"/>
        </w:rPr>
        <w:instrText>ADDIN CSL_CITATION {"citationItems":[{"id":"ITEM-1","itemData":{"URL":"http://sipa.agricultura.gob.ec/index.php/cifras-agroproductivas","accessed":{"date-parts":[["2019","5","13"]]},"id":"ITEM-1","issued":{"date-parts":[["0"]]},"title":"Cifras Agroproductivas","type":"webpage"},"uris":["http://www.mendeley.com/documents/?uuid=bdf0d1ea-ec05-3af0-b04e-d3309c15dccb"]}],"mendeley":{"formattedCitation":"(Cifras Agroproductivas s. f.)","plainTextFormattedCitation":"(Cifras Agroproductivas s. f.)","previouslyFormattedCitation":"(Cifras Agroproductivas s. f.)"},"properties":{"noteIndex":0},"schema":"https://github.com/citation-style-language/schema/raw/master/csl-citation.json"}</w:instrText>
      </w:r>
      <w:r w:rsidR="00097DD6">
        <w:rPr>
          <w:rFonts w:ascii="Times New Roman" w:hAnsi="Times New Roman" w:cs="Times New Roman"/>
          <w:sz w:val="24"/>
        </w:rPr>
        <w:fldChar w:fldCharType="separate"/>
      </w:r>
      <w:r w:rsidR="00097DD6" w:rsidRPr="00097DD6">
        <w:rPr>
          <w:rFonts w:ascii="Times New Roman" w:hAnsi="Times New Roman" w:cs="Times New Roman"/>
          <w:noProof/>
          <w:sz w:val="24"/>
        </w:rPr>
        <w:t>(Cifras Agroproductivas s. f.)</w:t>
      </w:r>
      <w:r w:rsidR="00097DD6">
        <w:rPr>
          <w:rFonts w:ascii="Times New Roman" w:hAnsi="Times New Roman" w:cs="Times New Roman"/>
          <w:sz w:val="24"/>
        </w:rPr>
        <w:fldChar w:fldCharType="end"/>
      </w:r>
      <w:r w:rsidRPr="00686018">
        <w:rPr>
          <w:rFonts w:ascii="Times New Roman" w:hAnsi="Times New Roman" w:cs="Times New Roman"/>
          <w:sz w:val="24"/>
        </w:rPr>
        <w:t xml:space="preserve">. </w:t>
      </w:r>
    </w:p>
    <w:p w:rsidR="00BB6916" w:rsidRPr="00686018" w:rsidRDefault="00BF3E78" w:rsidP="00A31608">
      <w:pPr>
        <w:jc w:val="both"/>
        <w:rPr>
          <w:rFonts w:ascii="Times New Roman" w:hAnsi="Times New Roman" w:cs="Times New Roman"/>
          <w:sz w:val="24"/>
        </w:rPr>
      </w:pPr>
      <w:r w:rsidRPr="00686018">
        <w:rPr>
          <w:rFonts w:ascii="Times New Roman" w:hAnsi="Times New Roman" w:cs="Times New Roman"/>
          <w:sz w:val="24"/>
        </w:rPr>
        <w:t xml:space="preserve">En el cantón Guaranda, </w:t>
      </w:r>
      <w:r w:rsidR="00297E2A" w:rsidRPr="00686018">
        <w:rPr>
          <w:rFonts w:ascii="Times New Roman" w:hAnsi="Times New Roman" w:cs="Times New Roman"/>
          <w:sz w:val="24"/>
        </w:rPr>
        <w:t>la agroindustria de la carne opera a una escala considerable</w:t>
      </w:r>
      <w:r w:rsidR="009E01B4" w:rsidRPr="00686018">
        <w:rPr>
          <w:rFonts w:ascii="Times New Roman" w:hAnsi="Times New Roman" w:cs="Times New Roman"/>
          <w:sz w:val="24"/>
        </w:rPr>
        <w:t>,</w:t>
      </w:r>
      <w:r w:rsidR="00297E2A" w:rsidRPr="00686018">
        <w:rPr>
          <w:rFonts w:ascii="Times New Roman" w:hAnsi="Times New Roman" w:cs="Times New Roman"/>
          <w:sz w:val="24"/>
        </w:rPr>
        <w:t xml:space="preserve"> </w:t>
      </w:r>
      <w:r w:rsidR="003133E2" w:rsidRPr="00686018">
        <w:rPr>
          <w:rFonts w:ascii="Times New Roman" w:hAnsi="Times New Roman" w:cs="Times New Roman"/>
          <w:sz w:val="24"/>
        </w:rPr>
        <w:t xml:space="preserve">parte del ganado vacuno y porcino es destinado a la producción de carne en la planta de </w:t>
      </w:r>
      <w:r w:rsidR="00FA68B9" w:rsidRPr="00686018">
        <w:rPr>
          <w:rFonts w:ascii="Times New Roman" w:hAnsi="Times New Roman" w:cs="Times New Roman"/>
          <w:sz w:val="24"/>
        </w:rPr>
        <w:t>f</w:t>
      </w:r>
      <w:r w:rsidR="00F15885" w:rsidRPr="00686018">
        <w:rPr>
          <w:rFonts w:ascii="Times New Roman" w:hAnsi="Times New Roman" w:cs="Times New Roman"/>
          <w:sz w:val="24"/>
        </w:rPr>
        <w:t>aenamiento</w:t>
      </w:r>
      <w:r w:rsidR="003133E2" w:rsidRPr="00686018">
        <w:rPr>
          <w:rFonts w:ascii="Times New Roman" w:hAnsi="Times New Roman" w:cs="Times New Roman"/>
          <w:sz w:val="24"/>
        </w:rPr>
        <w:t xml:space="preserve"> municipal. El proceso de faenamiento libera una gran cantidad de residuos contaminantes sólidos, entre ellos: heces, huesos y</w:t>
      </w:r>
      <w:r w:rsidR="00297E2A" w:rsidRPr="00686018">
        <w:rPr>
          <w:rFonts w:ascii="Times New Roman" w:hAnsi="Times New Roman" w:cs="Times New Roman"/>
          <w:sz w:val="24"/>
        </w:rPr>
        <w:t xml:space="preserve"> </w:t>
      </w:r>
      <w:r w:rsidR="00FB17BF" w:rsidRPr="00686018">
        <w:rPr>
          <w:rFonts w:ascii="Times New Roman" w:hAnsi="Times New Roman" w:cs="Times New Roman"/>
          <w:sz w:val="24"/>
        </w:rPr>
        <w:t>residuo ruminal</w:t>
      </w:r>
      <w:r w:rsidR="00297E2A" w:rsidRPr="00686018">
        <w:rPr>
          <w:rFonts w:ascii="Times New Roman" w:hAnsi="Times New Roman" w:cs="Times New Roman"/>
          <w:sz w:val="24"/>
        </w:rPr>
        <w:t>. Este último</w:t>
      </w:r>
      <w:r w:rsidR="003D20D1" w:rsidRPr="00686018">
        <w:rPr>
          <w:rFonts w:ascii="Times New Roman" w:hAnsi="Times New Roman" w:cs="Times New Roman"/>
          <w:sz w:val="24"/>
        </w:rPr>
        <w:t>, representa la faena de 3767</w:t>
      </w:r>
      <w:r w:rsidR="003133E2" w:rsidRPr="00686018">
        <w:rPr>
          <w:rFonts w:ascii="Times New Roman" w:hAnsi="Times New Roman" w:cs="Times New Roman"/>
          <w:sz w:val="24"/>
        </w:rPr>
        <w:t xml:space="preserve"> cabezas de </w:t>
      </w:r>
      <w:r w:rsidR="003D20D1" w:rsidRPr="00686018">
        <w:rPr>
          <w:rFonts w:ascii="Times New Roman" w:hAnsi="Times New Roman" w:cs="Times New Roman"/>
          <w:sz w:val="24"/>
        </w:rPr>
        <w:t>ganado vacuno durante el año 2017</w:t>
      </w:r>
      <w:r w:rsidR="003133E2" w:rsidRPr="00686018">
        <w:rPr>
          <w:rFonts w:ascii="Times New Roman" w:hAnsi="Times New Roman" w:cs="Times New Roman"/>
          <w:sz w:val="24"/>
        </w:rPr>
        <w:t xml:space="preserve"> y </w:t>
      </w:r>
      <w:r w:rsidR="003D20D1" w:rsidRPr="00686018">
        <w:rPr>
          <w:rFonts w:ascii="Times New Roman" w:hAnsi="Times New Roman" w:cs="Times New Roman"/>
          <w:sz w:val="24"/>
        </w:rPr>
        <w:t>3667</w:t>
      </w:r>
      <w:r w:rsidR="003133E2" w:rsidRPr="00686018">
        <w:rPr>
          <w:rFonts w:ascii="Times New Roman" w:hAnsi="Times New Roman" w:cs="Times New Roman"/>
          <w:sz w:val="24"/>
        </w:rPr>
        <w:t xml:space="preserve"> cabezas </w:t>
      </w:r>
      <w:r w:rsidR="00933B23" w:rsidRPr="00686018">
        <w:rPr>
          <w:rFonts w:ascii="Times New Roman" w:hAnsi="Times New Roman" w:cs="Times New Roman"/>
          <w:sz w:val="24"/>
        </w:rPr>
        <w:t>en</w:t>
      </w:r>
      <w:r w:rsidR="003133E2" w:rsidRPr="00686018">
        <w:rPr>
          <w:rFonts w:ascii="Times New Roman" w:hAnsi="Times New Roman" w:cs="Times New Roman"/>
          <w:sz w:val="24"/>
        </w:rPr>
        <w:t xml:space="preserve"> el presente año hasta la fecha (C</w:t>
      </w:r>
      <w:r w:rsidR="009D130E" w:rsidRPr="00686018">
        <w:rPr>
          <w:rFonts w:ascii="Times New Roman" w:hAnsi="Times New Roman" w:cs="Times New Roman"/>
          <w:sz w:val="24"/>
        </w:rPr>
        <w:t>amal Municipal de Guaranda CMG,</w:t>
      </w:r>
      <w:r w:rsidR="003133E2" w:rsidRPr="00686018">
        <w:rPr>
          <w:rFonts w:ascii="Times New Roman" w:hAnsi="Times New Roman" w:cs="Times New Roman"/>
          <w:sz w:val="24"/>
        </w:rPr>
        <w:t xml:space="preserve"> 201</w:t>
      </w:r>
      <w:r w:rsidR="00492BDD" w:rsidRPr="00686018">
        <w:rPr>
          <w:rFonts w:ascii="Times New Roman" w:hAnsi="Times New Roman" w:cs="Times New Roman"/>
          <w:sz w:val="24"/>
        </w:rPr>
        <w:t>9</w:t>
      </w:r>
      <w:r w:rsidR="003133E2" w:rsidRPr="00686018">
        <w:rPr>
          <w:rFonts w:ascii="Times New Roman" w:hAnsi="Times New Roman" w:cs="Times New Roman"/>
          <w:sz w:val="24"/>
        </w:rPr>
        <w:t>).</w:t>
      </w:r>
      <w:r w:rsidR="00672EB9" w:rsidRPr="00686018">
        <w:rPr>
          <w:rFonts w:ascii="Times New Roman" w:hAnsi="Times New Roman" w:cs="Times New Roman"/>
          <w:sz w:val="24"/>
        </w:rPr>
        <w:t xml:space="preserve"> </w:t>
      </w:r>
      <w:r w:rsidR="0013169D" w:rsidRPr="00686018">
        <w:rPr>
          <w:rFonts w:ascii="Times New Roman" w:hAnsi="Times New Roman" w:cs="Times New Roman"/>
          <w:sz w:val="24"/>
        </w:rPr>
        <w:t>El destino de este residuo por parte de la planta de faenamiento es la producción de abono</w:t>
      </w:r>
      <w:r w:rsidR="00D33047" w:rsidRPr="00686018">
        <w:rPr>
          <w:rFonts w:ascii="Times New Roman" w:hAnsi="Times New Roman" w:cs="Times New Roman"/>
          <w:sz w:val="24"/>
        </w:rPr>
        <w:t xml:space="preserve"> mediante el compostaje (CMG</w:t>
      </w:r>
      <w:r w:rsidR="00C80D09">
        <w:rPr>
          <w:rFonts w:ascii="Times New Roman" w:hAnsi="Times New Roman" w:cs="Times New Roman"/>
          <w:sz w:val="24"/>
        </w:rPr>
        <w:t>,</w:t>
      </w:r>
      <w:r w:rsidR="00D33047" w:rsidRPr="00686018">
        <w:rPr>
          <w:rFonts w:ascii="Times New Roman" w:hAnsi="Times New Roman" w:cs="Times New Roman"/>
          <w:sz w:val="24"/>
        </w:rPr>
        <w:t xml:space="preserve"> 2018), el cual resulta en la liberación directa de gases, incluyendo N</w:t>
      </w:r>
      <w:r w:rsidR="00D33047" w:rsidRPr="00686018">
        <w:rPr>
          <w:rFonts w:ascii="Times New Roman" w:hAnsi="Times New Roman" w:cs="Times New Roman"/>
          <w:sz w:val="24"/>
          <w:vertAlign w:val="subscript"/>
        </w:rPr>
        <w:t>2</w:t>
      </w:r>
      <w:r w:rsidR="00D33047" w:rsidRPr="00686018">
        <w:rPr>
          <w:rFonts w:ascii="Times New Roman" w:hAnsi="Times New Roman" w:cs="Times New Roman"/>
          <w:sz w:val="24"/>
        </w:rPr>
        <w:t>O, NH</w:t>
      </w:r>
      <w:r w:rsidR="00D33047" w:rsidRPr="00686018">
        <w:rPr>
          <w:rFonts w:ascii="Times New Roman" w:hAnsi="Times New Roman" w:cs="Times New Roman"/>
          <w:sz w:val="24"/>
          <w:vertAlign w:val="subscript"/>
        </w:rPr>
        <w:t>3</w:t>
      </w:r>
      <w:r w:rsidR="00D33047" w:rsidRPr="00686018">
        <w:rPr>
          <w:rFonts w:ascii="Times New Roman" w:hAnsi="Times New Roman" w:cs="Times New Roman"/>
          <w:sz w:val="24"/>
        </w:rPr>
        <w:t>, CO</w:t>
      </w:r>
      <w:r w:rsidR="00D33047" w:rsidRPr="00686018">
        <w:rPr>
          <w:rFonts w:ascii="Times New Roman" w:hAnsi="Times New Roman" w:cs="Times New Roman"/>
          <w:sz w:val="24"/>
          <w:vertAlign w:val="subscript"/>
        </w:rPr>
        <w:t>2</w:t>
      </w:r>
      <w:r w:rsidR="00D33047" w:rsidRPr="00686018">
        <w:rPr>
          <w:rFonts w:ascii="Times New Roman" w:hAnsi="Times New Roman" w:cs="Times New Roman"/>
          <w:sz w:val="24"/>
        </w:rPr>
        <w:t xml:space="preserve"> y CH</w:t>
      </w:r>
      <w:r w:rsidR="00D33047" w:rsidRPr="00686018">
        <w:rPr>
          <w:rFonts w:ascii="Times New Roman" w:hAnsi="Times New Roman" w:cs="Times New Roman"/>
          <w:sz w:val="24"/>
          <w:vertAlign w:val="subscript"/>
        </w:rPr>
        <w:t>4</w:t>
      </w:r>
      <w:r w:rsidR="00D33047" w:rsidRPr="00686018">
        <w:rPr>
          <w:rFonts w:ascii="Times New Roman" w:hAnsi="Times New Roman" w:cs="Times New Roman"/>
          <w:sz w:val="24"/>
        </w:rPr>
        <w:t xml:space="preserve"> </w:t>
      </w:r>
      <w:r w:rsidR="000E58FF" w:rsidRPr="00686018">
        <w:rPr>
          <w:rFonts w:ascii="Times New Roman" w:hAnsi="Times New Roman" w:cs="Times New Roman"/>
          <w:sz w:val="24"/>
        </w:rPr>
        <w:fldChar w:fldCharType="begin" w:fldLock="1"/>
      </w:r>
      <w:r w:rsidR="000E58FF" w:rsidRPr="00686018">
        <w:rPr>
          <w:rFonts w:ascii="Times New Roman" w:hAnsi="Times New Roman" w:cs="Times New Roman"/>
          <w:sz w:val="24"/>
        </w:rPr>
        <w:instrText>ADDIN CSL_CITATION {"citationItems":[{"id":"ITEM-1","itemData":{"DOI":"10.1016/j.wasman.2014.07.027","ISBN":"0956-053X","ISSN":"18792456","PMID":"25204615","abstract":"In some areas of Sub-Saharan Africa appropriate organic waste management technology could address development issues such as soil degradation, unemployment and energy scarcity, while at the same time reducing emissions of greenhouse gases. This paper investigates the role that carbon markets could have in facilitating the implementation of composting, anaerobic digestion and biochar production, in the city of Tamale, in the North of Ghana. Through a life cycle assessment of implementation scenarios for low-tech, small scale variants of the above mentioned three technologies, the potential contribution they could give to climate change mitigation was assessed. Furthermore an economic assessment was carried out to study their viability and the impact thereon of accessing carbon markets. It was found that substantial climate benefits can be achieved by avoiding landfilling of organic waste, producing electricity and substituting the use of chemical fertilizer. Biochar production could result in a net carbon sequestration. These technologies were however found not to be economically viable without external subsidies, and access to carbon markets at the considered carbon price of 7. EUR/ton of carbon would not change the situation significantly. Carbon markets could help the realization of the considered composting and anaerobic digestion systems only if the carbon price will rise above 75-84. EUR/t of carbon (respectively for anaerobic digestion and composting). Biochar production could achieve large climate benefits and, if approved as a land based climate mitigation mechanism in carbon markets, it would become economically viable at the lower carbon price of 30. EUR/t of carbon.","author":[{"dropping-particle":"","family":"Galgani","given":"Pietro","non-dropping-particle":"","parse-names":false,"suffix":""},{"dropping-particle":"","family":"Voet","given":"Ester","non-dropping-particle":"van der","parse-names":false,"suffix":""},{"dropping-particle":"","family":"Korevaar","given":"Gijsbert","non-dropping-particle":"","parse-names":false,"suffix":""}],"container-title":"Waste Management","id":"ITEM-1","issue":"12","issued":{"date-parts":[["2014"]]},"page":"2454-2465","publisher":"Elsevier Ltd","title":"Composting, anaerobic digestion and biochar production in Ghana. Environmental-economic assessment in the context of voluntary carbon markets","type":"article-journal","volume":"34"},"uris":["http://www.mendeley.com/documents/?uuid=15568fd5-8169-4ed7-97ad-010e1bcd7bce"]}],"mendeley":{"formattedCitation":"(Galgani et al. 2014)","plainTextFormattedCitation":"(Galgani et al. 2014)","previouslyFormattedCitation":"(Galgani et al. 2014)"},"properties":{"noteIndex":0},"schema":"https://github.com/citation-style-language/schema/raw/master/csl-citation.json"}</w:instrText>
      </w:r>
      <w:r w:rsidR="000E58FF" w:rsidRPr="00686018">
        <w:rPr>
          <w:rFonts w:ascii="Times New Roman" w:hAnsi="Times New Roman" w:cs="Times New Roman"/>
          <w:sz w:val="24"/>
        </w:rPr>
        <w:fldChar w:fldCharType="separate"/>
      </w:r>
      <w:r w:rsidR="000E58FF" w:rsidRPr="00686018">
        <w:rPr>
          <w:rFonts w:ascii="Times New Roman" w:hAnsi="Times New Roman" w:cs="Times New Roman"/>
          <w:noProof/>
          <w:sz w:val="24"/>
        </w:rPr>
        <w:t xml:space="preserve">(Galgani </w:t>
      </w:r>
      <w:r w:rsidR="00C80D09">
        <w:rPr>
          <w:rFonts w:ascii="Times New Roman" w:hAnsi="Times New Roman" w:cs="Times New Roman"/>
          <w:noProof/>
          <w:sz w:val="24"/>
        </w:rPr>
        <w:t>et al.,</w:t>
      </w:r>
      <w:r w:rsidR="000E58FF" w:rsidRPr="00686018">
        <w:rPr>
          <w:rFonts w:ascii="Times New Roman" w:hAnsi="Times New Roman" w:cs="Times New Roman"/>
          <w:noProof/>
          <w:sz w:val="24"/>
        </w:rPr>
        <w:t xml:space="preserve"> 2014)</w:t>
      </w:r>
      <w:r w:rsidR="000E58FF" w:rsidRPr="00686018">
        <w:rPr>
          <w:rFonts w:ascii="Times New Roman" w:hAnsi="Times New Roman" w:cs="Times New Roman"/>
          <w:sz w:val="24"/>
        </w:rPr>
        <w:fldChar w:fldCharType="end"/>
      </w:r>
      <w:r w:rsidR="00D33047" w:rsidRPr="00686018">
        <w:rPr>
          <w:rFonts w:ascii="Times New Roman" w:hAnsi="Times New Roman" w:cs="Times New Roman"/>
          <w:sz w:val="24"/>
        </w:rPr>
        <w:t>.</w:t>
      </w:r>
      <w:r w:rsidR="00D33047" w:rsidRPr="00686018">
        <w:rPr>
          <w:rFonts w:ascii="Times New Roman" w:hAnsi="Times New Roman" w:cs="Times New Roman"/>
          <w:color w:val="FF0000"/>
          <w:sz w:val="24"/>
        </w:rPr>
        <w:t xml:space="preserve"> </w:t>
      </w:r>
      <w:r w:rsidR="00D33047" w:rsidRPr="00686018">
        <w:rPr>
          <w:rFonts w:ascii="Times New Roman" w:hAnsi="Times New Roman" w:cs="Times New Roman"/>
          <w:sz w:val="24"/>
        </w:rPr>
        <w:t>E</w:t>
      </w:r>
      <w:r w:rsidR="00F44F8E" w:rsidRPr="00686018">
        <w:rPr>
          <w:rFonts w:ascii="Times New Roman" w:hAnsi="Times New Roman" w:cs="Times New Roman"/>
          <w:sz w:val="24"/>
        </w:rPr>
        <w:t xml:space="preserve">ste residuo </w:t>
      </w:r>
      <w:r w:rsidR="00672EB9" w:rsidRPr="00686018">
        <w:rPr>
          <w:rFonts w:ascii="Times New Roman" w:hAnsi="Times New Roman" w:cs="Times New Roman"/>
          <w:sz w:val="24"/>
        </w:rPr>
        <w:t>muy</w:t>
      </w:r>
      <w:r w:rsidR="0013169D" w:rsidRPr="00686018">
        <w:rPr>
          <w:rFonts w:ascii="Times New Roman" w:hAnsi="Times New Roman" w:cs="Times New Roman"/>
          <w:sz w:val="24"/>
        </w:rPr>
        <w:t xml:space="preserve"> abundante </w:t>
      </w:r>
      <w:r w:rsidR="00D33047" w:rsidRPr="00686018">
        <w:rPr>
          <w:rFonts w:ascii="Times New Roman" w:hAnsi="Times New Roman" w:cs="Times New Roman"/>
          <w:sz w:val="24"/>
        </w:rPr>
        <w:t>y,</w:t>
      </w:r>
      <w:r w:rsidR="0013169D" w:rsidRPr="00686018">
        <w:rPr>
          <w:rFonts w:ascii="Times New Roman" w:hAnsi="Times New Roman" w:cs="Times New Roman"/>
          <w:sz w:val="24"/>
        </w:rPr>
        <w:t xml:space="preserve"> además,</w:t>
      </w:r>
      <w:r w:rsidR="00672EB9" w:rsidRPr="00686018">
        <w:rPr>
          <w:rFonts w:ascii="Times New Roman" w:hAnsi="Times New Roman" w:cs="Times New Roman"/>
          <w:sz w:val="24"/>
        </w:rPr>
        <w:t xml:space="preserve"> rico en </w:t>
      </w:r>
      <w:r w:rsidR="006774DD" w:rsidRPr="00686018">
        <w:rPr>
          <w:rFonts w:ascii="Times New Roman" w:hAnsi="Times New Roman" w:cs="Times New Roman"/>
          <w:sz w:val="24"/>
        </w:rPr>
        <w:t xml:space="preserve">biomasa </w:t>
      </w:r>
      <w:r w:rsidR="00F15885" w:rsidRPr="00686018">
        <w:rPr>
          <w:rFonts w:ascii="Times New Roman" w:hAnsi="Times New Roman" w:cs="Times New Roman"/>
          <w:sz w:val="24"/>
        </w:rPr>
        <w:t>lignocelulósico</w:t>
      </w:r>
      <w:r w:rsidR="006774DD" w:rsidRPr="00686018">
        <w:rPr>
          <w:rFonts w:ascii="Times New Roman" w:hAnsi="Times New Roman" w:cs="Times New Roman"/>
          <w:sz w:val="24"/>
        </w:rPr>
        <w:t xml:space="preserve"> es un candidato adecuado </w:t>
      </w:r>
      <w:r w:rsidR="00D33047" w:rsidRPr="00686018">
        <w:rPr>
          <w:rFonts w:ascii="Times New Roman" w:hAnsi="Times New Roman" w:cs="Times New Roman"/>
          <w:sz w:val="24"/>
        </w:rPr>
        <w:t xml:space="preserve">y sin estudios reportados </w:t>
      </w:r>
      <w:r w:rsidR="006774DD" w:rsidRPr="00686018">
        <w:rPr>
          <w:rFonts w:ascii="Times New Roman" w:hAnsi="Times New Roman" w:cs="Times New Roman"/>
          <w:sz w:val="24"/>
        </w:rPr>
        <w:t>para la recuperación de energía por medio de una prueba po</w:t>
      </w:r>
      <w:r w:rsidR="00096F3F" w:rsidRPr="00686018">
        <w:rPr>
          <w:rFonts w:ascii="Times New Roman" w:hAnsi="Times New Roman" w:cs="Times New Roman"/>
          <w:sz w:val="24"/>
        </w:rPr>
        <w:t>tencial de metano.</w:t>
      </w:r>
    </w:p>
    <w:p w:rsidR="00096F3F" w:rsidRPr="00686018" w:rsidRDefault="003D20D1" w:rsidP="00A31608">
      <w:pPr>
        <w:jc w:val="both"/>
        <w:rPr>
          <w:rFonts w:ascii="Times New Roman" w:hAnsi="Times New Roman" w:cs="Times New Roman"/>
          <w:sz w:val="24"/>
        </w:rPr>
      </w:pPr>
      <w:r w:rsidRPr="00686018">
        <w:rPr>
          <w:rFonts w:ascii="Times New Roman" w:hAnsi="Times New Roman" w:cs="Times New Roman"/>
          <w:sz w:val="24"/>
        </w:rPr>
        <w:t>Entre los principales cultivos en la Provincia Bolívar se encuentran maíz, trigo y cebada. En el 2017, se producía 16.411 toneladas de maíz, 986 toneladas de trigo y 334 toneladas de cebada, el cual fue 30,81% y 3,14% más que en el 2016 para maíz y trigo, pe</w:t>
      </w:r>
      <w:r w:rsidR="00976D5E">
        <w:rPr>
          <w:rFonts w:ascii="Times New Roman" w:hAnsi="Times New Roman" w:cs="Times New Roman"/>
          <w:sz w:val="24"/>
        </w:rPr>
        <w:t xml:space="preserve">ro, 56,62% menos para la cebada </w:t>
      </w:r>
      <w:r w:rsidR="00976D5E">
        <w:rPr>
          <w:rFonts w:ascii="Times New Roman" w:hAnsi="Times New Roman" w:cs="Times New Roman"/>
          <w:sz w:val="24"/>
        </w:rPr>
        <w:fldChar w:fldCharType="begin" w:fldLock="1"/>
      </w:r>
      <w:r w:rsidR="00976D5E">
        <w:rPr>
          <w:rFonts w:ascii="Times New Roman" w:hAnsi="Times New Roman" w:cs="Times New Roman"/>
          <w:sz w:val="24"/>
        </w:rPr>
        <w:instrText>ADDIN CSL_CITATION {"citationItems":[{"id":"ITEM-1","itemData":{"URL":"http://sipa.agricultura.gob.ec/index.php/cifras-agroproductivas","accessed":{"date-parts":[["2019","5","13"]]},"id":"ITEM-1","issued":{"date-parts":[["0"]]},"title":"Cifras Agroproductivas","type":"webpage"},"uris":["http://www.mendeley.com/documents/?uuid=bdf0d1ea-ec05-3af0-b04e-d3309c15dccb"]}],"mendeley":{"formattedCitation":"(Cifras Agroproductivas s. f.)","plainTextFormattedCitation":"(Cifras Agroproductivas s. f.)","previouslyFormattedCitation":"(Cifras Agroproductivas s. f.)"},"properties":{"noteIndex":0},"schema":"https://github.com/citation-style-language/schema/raw/master/csl-citation.json"}</w:instrText>
      </w:r>
      <w:r w:rsidR="00976D5E">
        <w:rPr>
          <w:rFonts w:ascii="Times New Roman" w:hAnsi="Times New Roman" w:cs="Times New Roman"/>
          <w:sz w:val="24"/>
        </w:rPr>
        <w:fldChar w:fldCharType="separate"/>
      </w:r>
      <w:r w:rsidR="00976D5E" w:rsidRPr="00976D5E">
        <w:rPr>
          <w:rFonts w:ascii="Times New Roman" w:hAnsi="Times New Roman" w:cs="Times New Roman"/>
          <w:noProof/>
          <w:sz w:val="24"/>
        </w:rPr>
        <w:t>(Cifras Agroproductivas s. f.)</w:t>
      </w:r>
      <w:r w:rsidR="00976D5E">
        <w:rPr>
          <w:rFonts w:ascii="Times New Roman" w:hAnsi="Times New Roman" w:cs="Times New Roman"/>
          <w:sz w:val="24"/>
        </w:rPr>
        <w:fldChar w:fldCharType="end"/>
      </w:r>
      <w:r w:rsidR="00976D5E">
        <w:rPr>
          <w:rFonts w:ascii="Times New Roman" w:hAnsi="Times New Roman" w:cs="Times New Roman"/>
          <w:sz w:val="24"/>
        </w:rPr>
        <w:t>.</w:t>
      </w:r>
    </w:p>
    <w:p w:rsidR="003D20D1" w:rsidRPr="00686018" w:rsidRDefault="003D20D1" w:rsidP="00A31608">
      <w:pPr>
        <w:jc w:val="both"/>
        <w:rPr>
          <w:rFonts w:ascii="Times New Roman" w:hAnsi="Times New Roman" w:cs="Times New Roman"/>
          <w:sz w:val="24"/>
        </w:rPr>
      </w:pPr>
      <w:r w:rsidRPr="00686018">
        <w:rPr>
          <w:rFonts w:ascii="Times New Roman" w:hAnsi="Times New Roman" w:cs="Times New Roman"/>
          <w:sz w:val="24"/>
        </w:rPr>
        <w:t xml:space="preserve">Los residuos agrícolas de estos cultivos son empleados principalmente para alimentación animal, </w:t>
      </w:r>
      <w:r w:rsidR="009F4230" w:rsidRPr="00686018">
        <w:rPr>
          <w:rFonts w:ascii="Times New Roman" w:hAnsi="Times New Roman" w:cs="Times New Roman"/>
          <w:sz w:val="24"/>
        </w:rPr>
        <w:t xml:space="preserve">además, serían </w:t>
      </w:r>
      <w:r w:rsidRPr="00686018">
        <w:rPr>
          <w:rFonts w:ascii="Times New Roman" w:hAnsi="Times New Roman" w:cs="Times New Roman"/>
          <w:sz w:val="24"/>
        </w:rPr>
        <w:t xml:space="preserve">sustratos </w:t>
      </w:r>
      <w:r w:rsidR="009F4230" w:rsidRPr="00686018">
        <w:rPr>
          <w:rFonts w:ascii="Times New Roman" w:hAnsi="Times New Roman" w:cs="Times New Roman"/>
          <w:sz w:val="24"/>
        </w:rPr>
        <w:t xml:space="preserve">adecuados </w:t>
      </w:r>
      <w:r w:rsidRPr="00686018">
        <w:rPr>
          <w:rFonts w:ascii="Times New Roman" w:hAnsi="Times New Roman" w:cs="Times New Roman"/>
          <w:sz w:val="24"/>
        </w:rPr>
        <w:t xml:space="preserve">en procesos de recuperación de energía por medio de la digestión anaerobia (Neshat </w:t>
      </w:r>
      <w:r w:rsidR="00C80D09">
        <w:rPr>
          <w:rFonts w:ascii="Times New Roman" w:hAnsi="Times New Roman" w:cs="Times New Roman"/>
          <w:sz w:val="24"/>
        </w:rPr>
        <w:t>et al.,</w:t>
      </w:r>
      <w:r w:rsidR="00712A8B" w:rsidRPr="00686018">
        <w:rPr>
          <w:rFonts w:ascii="Times New Roman" w:hAnsi="Times New Roman" w:cs="Times New Roman"/>
          <w:sz w:val="24"/>
        </w:rPr>
        <w:t xml:space="preserve"> 2017). En los campos de la Facultad de Ciencias Agropecuarias, Recursos Naturales y del Ambiente</w:t>
      </w:r>
      <w:r w:rsidRPr="00686018">
        <w:rPr>
          <w:rFonts w:ascii="Times New Roman" w:hAnsi="Times New Roman" w:cs="Times New Roman"/>
          <w:sz w:val="24"/>
        </w:rPr>
        <w:t xml:space="preserve"> de la Universidad estatal de Bolívar, se cultiva el trigo</w:t>
      </w:r>
      <w:r w:rsidRPr="00686018">
        <w:rPr>
          <w:rFonts w:ascii="Times New Roman" w:hAnsi="Times New Roman" w:cs="Times New Roman"/>
          <w:color w:val="FF0000"/>
          <w:sz w:val="24"/>
        </w:rPr>
        <w:t xml:space="preserve">. </w:t>
      </w:r>
      <w:r w:rsidRPr="00686018">
        <w:rPr>
          <w:rFonts w:ascii="Times New Roman" w:hAnsi="Times New Roman" w:cs="Times New Roman"/>
          <w:sz w:val="24"/>
        </w:rPr>
        <w:t>La paja (residuo lignocelulósico) es empleada para alimentación animal de la misma facultad</w:t>
      </w:r>
      <w:r w:rsidR="009F4230" w:rsidRPr="00686018">
        <w:rPr>
          <w:rFonts w:ascii="Times New Roman" w:hAnsi="Times New Roman" w:cs="Times New Roman"/>
          <w:sz w:val="24"/>
        </w:rPr>
        <w:t xml:space="preserve"> y parte es desechada y quemada</w:t>
      </w:r>
      <w:r w:rsidRPr="00686018">
        <w:rPr>
          <w:rFonts w:ascii="Times New Roman" w:hAnsi="Times New Roman" w:cs="Times New Roman"/>
          <w:sz w:val="24"/>
        </w:rPr>
        <w:t xml:space="preserve">. Al ser un residuo muy abundante y conociendo su composición química, misma que involucra una baja relación C/N, la paja de trigo favorece la abundancia de nitrógeno que estimula el crecimiento de los microrganismos metanogénicos. </w:t>
      </w:r>
    </w:p>
    <w:p w:rsidR="00906ED6" w:rsidRPr="00686018" w:rsidRDefault="00906ED6" w:rsidP="00A31608">
      <w:pPr>
        <w:pStyle w:val="Ttulo3"/>
        <w:numPr>
          <w:ilvl w:val="1"/>
          <w:numId w:val="4"/>
        </w:numPr>
        <w:ind w:left="431" w:hanging="431"/>
        <w:jc w:val="both"/>
        <w:rPr>
          <w:rFonts w:ascii="Times New Roman" w:hAnsi="Times New Roman" w:cs="Times New Roman"/>
          <w:i w:val="0"/>
        </w:rPr>
      </w:pPr>
      <w:bookmarkStart w:id="42" w:name="_Toc9537777"/>
      <w:r w:rsidRPr="00686018">
        <w:rPr>
          <w:rFonts w:ascii="Times New Roman" w:hAnsi="Times New Roman" w:cs="Times New Roman"/>
          <w:i w:val="0"/>
        </w:rPr>
        <w:t>Formulación del Problema</w:t>
      </w:r>
      <w:bookmarkEnd w:id="42"/>
    </w:p>
    <w:p w:rsidR="00FA68B9" w:rsidRPr="00686018" w:rsidRDefault="00FA68B9" w:rsidP="00A31608">
      <w:pPr>
        <w:jc w:val="both"/>
        <w:rPr>
          <w:rFonts w:ascii="Times New Roman" w:hAnsi="Times New Roman" w:cs="Times New Roman"/>
          <w:sz w:val="24"/>
        </w:rPr>
      </w:pPr>
      <w:r w:rsidRPr="00686018">
        <w:rPr>
          <w:rFonts w:ascii="Times New Roman" w:hAnsi="Times New Roman" w:cs="Times New Roman"/>
          <w:sz w:val="24"/>
        </w:rPr>
        <w:t xml:space="preserve">En base a lo expuesto anteriormente el presente trabajo de investigación tiene como finalidad realizar la codigestión anaerobia de residuo ruminal de vacas faenadas </w:t>
      </w:r>
      <w:r w:rsidRPr="00686018">
        <w:rPr>
          <w:rFonts w:ascii="Times New Roman" w:hAnsi="Times New Roman" w:cs="Times New Roman"/>
          <w:sz w:val="24"/>
        </w:rPr>
        <w:lastRenderedPageBreak/>
        <w:t>procedentes del Camal municipal de Guaranda mediante la adición de paja de trigo (tallos) para la producción de biogás a escala de laboratorio. Planteamos la siguiente interrogante investigativa:</w:t>
      </w:r>
    </w:p>
    <w:p w:rsidR="0027444F" w:rsidRPr="00686018" w:rsidRDefault="0027444F" w:rsidP="00A31608">
      <w:pPr>
        <w:jc w:val="both"/>
        <w:rPr>
          <w:rFonts w:ascii="Times New Roman" w:hAnsi="Times New Roman" w:cs="Times New Roman"/>
          <w:sz w:val="24"/>
        </w:rPr>
      </w:pPr>
      <w:r w:rsidRPr="00686018">
        <w:rPr>
          <w:rFonts w:ascii="Times New Roman" w:hAnsi="Times New Roman" w:cs="Times New Roman"/>
          <w:sz w:val="24"/>
        </w:rPr>
        <w:t>¿La codigestión anaerobia de residuo ruminal de vacas faenadas procedentes del Camal municipal de Guaranda mediante la adición de paja de trigo generará la producción de biogás?</w:t>
      </w:r>
    </w:p>
    <w:p w:rsidR="006D790D" w:rsidRPr="00686018" w:rsidRDefault="006D790D" w:rsidP="00A31608">
      <w:pPr>
        <w:pStyle w:val="Ttulo3"/>
        <w:numPr>
          <w:ilvl w:val="1"/>
          <w:numId w:val="4"/>
        </w:numPr>
        <w:ind w:left="431" w:hanging="431"/>
        <w:jc w:val="both"/>
        <w:rPr>
          <w:rFonts w:ascii="Times New Roman" w:hAnsi="Times New Roman" w:cs="Times New Roman"/>
          <w:i w:val="0"/>
        </w:rPr>
      </w:pPr>
      <w:bookmarkStart w:id="43" w:name="_Toc9537778"/>
      <w:r w:rsidRPr="00686018">
        <w:rPr>
          <w:rFonts w:ascii="Times New Roman" w:hAnsi="Times New Roman" w:cs="Times New Roman"/>
          <w:i w:val="0"/>
        </w:rPr>
        <w:t>Sistematización del Problema</w:t>
      </w:r>
      <w:bookmarkEnd w:id="43"/>
    </w:p>
    <w:p w:rsidR="00540707" w:rsidRPr="00686018" w:rsidRDefault="004C143B"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t xml:space="preserve">Para dar </w:t>
      </w:r>
      <w:r w:rsidR="0027444F" w:rsidRPr="00686018">
        <w:rPr>
          <w:rFonts w:ascii="Times New Roman" w:hAnsi="Times New Roman" w:cs="Times New Roman"/>
          <w:sz w:val="24"/>
          <w:szCs w:val="24"/>
        </w:rPr>
        <w:t xml:space="preserve">cumplimiento al objetivo principal de investigación se plantearon </w:t>
      </w:r>
      <w:r w:rsidR="00540707" w:rsidRPr="00686018">
        <w:rPr>
          <w:rFonts w:ascii="Times New Roman" w:hAnsi="Times New Roman" w:cs="Times New Roman"/>
          <w:sz w:val="24"/>
          <w:szCs w:val="24"/>
        </w:rPr>
        <w:t>las siguientes preguntas de investigación:</w:t>
      </w:r>
    </w:p>
    <w:p w:rsidR="0009713E" w:rsidRPr="00686018" w:rsidRDefault="0009713E"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t>¿Qué composición elemental (CHONS) y proximal (Humedad, solidos volátiles, cenizas) poseerán los sustratos empleados en la codigestión anaerobia?</w:t>
      </w:r>
    </w:p>
    <w:p w:rsidR="00540707" w:rsidRPr="00686018" w:rsidRDefault="00933B23"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t xml:space="preserve">¿En la </w:t>
      </w:r>
      <w:r w:rsidR="00E551B7" w:rsidRPr="00686018">
        <w:rPr>
          <w:rFonts w:ascii="Times New Roman" w:hAnsi="Times New Roman" w:cs="Times New Roman"/>
          <w:sz w:val="24"/>
          <w:szCs w:val="24"/>
        </w:rPr>
        <w:t>codigestión</w:t>
      </w:r>
      <w:r w:rsidR="00540707" w:rsidRPr="00686018">
        <w:rPr>
          <w:rFonts w:ascii="Times New Roman" w:hAnsi="Times New Roman" w:cs="Times New Roman"/>
          <w:sz w:val="24"/>
          <w:szCs w:val="24"/>
        </w:rPr>
        <w:t xml:space="preserve"> anaerobia </w:t>
      </w:r>
      <w:r w:rsidR="00C80179" w:rsidRPr="00686018">
        <w:rPr>
          <w:rFonts w:ascii="Times New Roman" w:hAnsi="Times New Roman" w:cs="Times New Roman"/>
          <w:sz w:val="24"/>
          <w:szCs w:val="24"/>
        </w:rPr>
        <w:t>mesofilica</w:t>
      </w:r>
      <w:r w:rsidRPr="00686018">
        <w:rPr>
          <w:rFonts w:ascii="Times New Roman" w:hAnsi="Times New Roman" w:cs="Times New Roman"/>
          <w:sz w:val="24"/>
          <w:szCs w:val="24"/>
        </w:rPr>
        <w:t xml:space="preserve"> (38°C)</w:t>
      </w:r>
      <w:r w:rsidR="00C80179" w:rsidRPr="00686018">
        <w:rPr>
          <w:rFonts w:ascii="Times New Roman" w:hAnsi="Times New Roman" w:cs="Times New Roman"/>
          <w:sz w:val="24"/>
          <w:szCs w:val="24"/>
        </w:rPr>
        <w:t xml:space="preserve"> </w:t>
      </w:r>
      <w:r w:rsidR="00540707" w:rsidRPr="00686018">
        <w:rPr>
          <w:rFonts w:ascii="Times New Roman" w:hAnsi="Times New Roman" w:cs="Times New Roman"/>
          <w:sz w:val="24"/>
          <w:szCs w:val="24"/>
        </w:rPr>
        <w:t xml:space="preserve">de </w:t>
      </w:r>
      <w:r w:rsidR="00FB17BF" w:rsidRPr="00686018">
        <w:rPr>
          <w:rFonts w:ascii="Times New Roman" w:hAnsi="Times New Roman" w:cs="Times New Roman"/>
          <w:sz w:val="24"/>
          <w:szCs w:val="24"/>
        </w:rPr>
        <w:t>residuo ruminal</w:t>
      </w:r>
      <w:r w:rsidR="0073058C" w:rsidRPr="00686018">
        <w:rPr>
          <w:rFonts w:ascii="Times New Roman" w:hAnsi="Times New Roman" w:cs="Times New Roman"/>
          <w:sz w:val="24"/>
          <w:szCs w:val="24"/>
        </w:rPr>
        <w:t xml:space="preserve"> </w:t>
      </w:r>
      <w:r w:rsidR="009E3A88" w:rsidRPr="00686018">
        <w:rPr>
          <w:rFonts w:ascii="Times New Roman" w:hAnsi="Times New Roman" w:cs="Times New Roman"/>
          <w:sz w:val="24"/>
          <w:szCs w:val="24"/>
        </w:rPr>
        <w:t>de vaca</w:t>
      </w:r>
      <w:r w:rsidR="00705BBB" w:rsidRPr="00686018">
        <w:rPr>
          <w:rFonts w:ascii="Times New Roman" w:hAnsi="Times New Roman" w:cs="Times New Roman"/>
          <w:sz w:val="24"/>
          <w:szCs w:val="24"/>
        </w:rPr>
        <w:t>s</w:t>
      </w:r>
      <w:r w:rsidR="009E3A88" w:rsidRPr="00686018">
        <w:rPr>
          <w:rFonts w:ascii="Times New Roman" w:hAnsi="Times New Roman" w:cs="Times New Roman"/>
          <w:sz w:val="24"/>
          <w:szCs w:val="24"/>
        </w:rPr>
        <w:t xml:space="preserve"> faenada</w:t>
      </w:r>
      <w:r w:rsidR="00705BBB" w:rsidRPr="00686018">
        <w:rPr>
          <w:rFonts w:ascii="Times New Roman" w:hAnsi="Times New Roman" w:cs="Times New Roman"/>
          <w:sz w:val="24"/>
          <w:szCs w:val="24"/>
        </w:rPr>
        <w:t>s</w:t>
      </w:r>
      <w:r w:rsidR="009E3A88" w:rsidRPr="00686018">
        <w:rPr>
          <w:rFonts w:ascii="Times New Roman" w:hAnsi="Times New Roman" w:cs="Times New Roman"/>
          <w:sz w:val="24"/>
          <w:szCs w:val="24"/>
        </w:rPr>
        <w:t xml:space="preserve"> junto con </w:t>
      </w:r>
      <w:r w:rsidR="0013169D" w:rsidRPr="00686018">
        <w:rPr>
          <w:rFonts w:ascii="Times New Roman" w:hAnsi="Times New Roman" w:cs="Times New Roman"/>
          <w:sz w:val="24"/>
          <w:szCs w:val="24"/>
        </w:rPr>
        <w:t>paja de trigo</w:t>
      </w:r>
      <w:r w:rsidR="009E3A88" w:rsidRPr="00686018">
        <w:rPr>
          <w:rFonts w:ascii="Times New Roman" w:hAnsi="Times New Roman" w:cs="Times New Roman"/>
          <w:sz w:val="24"/>
          <w:szCs w:val="24"/>
        </w:rPr>
        <w:t>,</w:t>
      </w:r>
      <w:r w:rsidR="00540707" w:rsidRPr="00686018">
        <w:rPr>
          <w:rFonts w:ascii="Times New Roman" w:hAnsi="Times New Roman" w:cs="Times New Roman"/>
          <w:sz w:val="24"/>
          <w:szCs w:val="24"/>
        </w:rPr>
        <w:t xml:space="preserve"> la razón de </w:t>
      </w:r>
      <w:r w:rsidR="005E4558" w:rsidRPr="00686018">
        <w:rPr>
          <w:rFonts w:ascii="Times New Roman" w:hAnsi="Times New Roman" w:cs="Times New Roman"/>
          <w:sz w:val="24"/>
          <w:szCs w:val="24"/>
        </w:rPr>
        <w:t>inóculo</w:t>
      </w:r>
      <w:r w:rsidR="00E3552C" w:rsidRPr="00686018">
        <w:rPr>
          <w:rFonts w:ascii="Times New Roman" w:hAnsi="Times New Roman" w:cs="Times New Roman"/>
          <w:sz w:val="24"/>
          <w:szCs w:val="24"/>
        </w:rPr>
        <w:t xml:space="preserve"> a sustrato</w:t>
      </w:r>
      <w:r w:rsidR="00841C7C" w:rsidRPr="00686018">
        <w:rPr>
          <w:rFonts w:ascii="Times New Roman" w:hAnsi="Times New Roman" w:cs="Times New Roman"/>
          <w:sz w:val="24"/>
          <w:szCs w:val="24"/>
        </w:rPr>
        <w:t xml:space="preserve"> afectará</w:t>
      </w:r>
      <w:r w:rsidR="00540707" w:rsidRPr="00686018">
        <w:rPr>
          <w:rFonts w:ascii="Times New Roman" w:hAnsi="Times New Roman" w:cs="Times New Roman"/>
          <w:sz w:val="24"/>
          <w:szCs w:val="24"/>
        </w:rPr>
        <w:t xml:space="preserve"> el proceso de digestión</w:t>
      </w:r>
      <w:r w:rsidR="0009713E" w:rsidRPr="00686018">
        <w:rPr>
          <w:rFonts w:ascii="Times New Roman" w:hAnsi="Times New Roman" w:cs="Times New Roman"/>
          <w:sz w:val="24"/>
          <w:szCs w:val="24"/>
        </w:rPr>
        <w:t xml:space="preserve"> en base a una carga orgánica fija y un rango de pH optimo</w:t>
      </w:r>
      <w:r w:rsidR="00540707" w:rsidRPr="00686018">
        <w:rPr>
          <w:rFonts w:ascii="Times New Roman" w:hAnsi="Times New Roman" w:cs="Times New Roman"/>
          <w:sz w:val="24"/>
          <w:szCs w:val="24"/>
        </w:rPr>
        <w:t>?</w:t>
      </w:r>
    </w:p>
    <w:p w:rsidR="00C80179" w:rsidRPr="00686018" w:rsidRDefault="0009713E"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t>¿Cuál será el efecto de la relación C/N ocurrida durante la codigestión del residuo ruminal y paja de trigo?</w:t>
      </w:r>
    </w:p>
    <w:p w:rsidR="00540707" w:rsidRPr="00686018" w:rsidRDefault="00C80179" w:rsidP="00A31608">
      <w:pPr>
        <w:tabs>
          <w:tab w:val="center" w:pos="4252"/>
        </w:tabs>
        <w:jc w:val="both"/>
        <w:rPr>
          <w:rFonts w:ascii="Times New Roman" w:hAnsi="Times New Roman" w:cs="Times New Roman"/>
          <w:sz w:val="24"/>
          <w:szCs w:val="24"/>
        </w:rPr>
      </w:pPr>
      <w:r w:rsidRPr="00686018">
        <w:rPr>
          <w:rFonts w:ascii="Times New Roman" w:hAnsi="Times New Roman" w:cs="Times New Roman"/>
          <w:color w:val="000000" w:themeColor="text1"/>
          <w:sz w:val="24"/>
          <w:szCs w:val="24"/>
        </w:rPr>
        <w:t>¿</w:t>
      </w:r>
      <w:r w:rsidR="0009713E" w:rsidRPr="00686018">
        <w:rPr>
          <w:rFonts w:ascii="Times New Roman" w:hAnsi="Times New Roman" w:cs="Times New Roman"/>
          <w:sz w:val="24"/>
          <w:szCs w:val="24"/>
        </w:rPr>
        <w:t>El Índice de efecto sinérgico y biodegradabilidad de la materia orgánica en las diferentes concentraciones de residuo ruminal y paja de trigo afectará la generación de biogás</w:t>
      </w:r>
      <w:r w:rsidRPr="00686018">
        <w:rPr>
          <w:rFonts w:ascii="Times New Roman" w:hAnsi="Times New Roman" w:cs="Times New Roman"/>
          <w:sz w:val="24"/>
          <w:szCs w:val="24"/>
        </w:rPr>
        <w:t xml:space="preserve">? </w:t>
      </w:r>
    </w:p>
    <w:p w:rsidR="006D790D" w:rsidRPr="00686018" w:rsidRDefault="006D790D" w:rsidP="00A31608">
      <w:pPr>
        <w:pStyle w:val="Ttulo3"/>
        <w:numPr>
          <w:ilvl w:val="1"/>
          <w:numId w:val="4"/>
        </w:numPr>
        <w:ind w:left="431" w:hanging="431"/>
        <w:jc w:val="both"/>
        <w:rPr>
          <w:rFonts w:ascii="Times New Roman" w:hAnsi="Times New Roman" w:cs="Times New Roman"/>
          <w:i w:val="0"/>
        </w:rPr>
      </w:pPr>
      <w:bookmarkStart w:id="44" w:name="_Toc9537779"/>
      <w:r w:rsidRPr="00686018">
        <w:rPr>
          <w:rFonts w:ascii="Times New Roman" w:hAnsi="Times New Roman" w:cs="Times New Roman"/>
          <w:i w:val="0"/>
        </w:rPr>
        <w:t>Justificación del Problema</w:t>
      </w:r>
      <w:bookmarkEnd w:id="44"/>
    </w:p>
    <w:p w:rsidR="0027444F" w:rsidRPr="00686018" w:rsidRDefault="0069786F" w:rsidP="00A31608">
      <w:pPr>
        <w:jc w:val="both"/>
        <w:rPr>
          <w:rFonts w:ascii="Times New Roman" w:hAnsi="Times New Roman" w:cs="Times New Roman"/>
          <w:sz w:val="24"/>
          <w:szCs w:val="24"/>
        </w:rPr>
      </w:pPr>
      <w:r w:rsidRPr="00686018">
        <w:rPr>
          <w:rFonts w:ascii="Times New Roman" w:hAnsi="Times New Roman" w:cs="Times New Roman"/>
          <w:sz w:val="24"/>
        </w:rPr>
        <w:t>En vista de la existencia de</w:t>
      </w:r>
      <w:r w:rsidR="005442ED" w:rsidRPr="00686018">
        <w:rPr>
          <w:rFonts w:ascii="Times New Roman" w:hAnsi="Times New Roman" w:cs="Times New Roman"/>
          <w:sz w:val="24"/>
        </w:rPr>
        <w:t xml:space="preserve"> un amplio rango de sustratos </w:t>
      </w:r>
      <w:r w:rsidRPr="00686018">
        <w:rPr>
          <w:rFonts w:ascii="Times New Roman" w:hAnsi="Times New Roman" w:cs="Times New Roman"/>
          <w:sz w:val="24"/>
        </w:rPr>
        <w:t>disponibles</w:t>
      </w:r>
      <w:r w:rsidR="005442ED" w:rsidRPr="00686018">
        <w:rPr>
          <w:rFonts w:ascii="Times New Roman" w:hAnsi="Times New Roman" w:cs="Times New Roman"/>
          <w:sz w:val="24"/>
        </w:rPr>
        <w:t xml:space="preserve"> </w:t>
      </w:r>
      <w:r w:rsidR="00DC61EE" w:rsidRPr="00686018">
        <w:rPr>
          <w:rFonts w:ascii="Times New Roman" w:hAnsi="Times New Roman" w:cs="Times New Roman"/>
          <w:sz w:val="24"/>
        </w:rPr>
        <w:t>sometidos a un tratamiento</w:t>
      </w:r>
      <w:r w:rsidRPr="00686018">
        <w:rPr>
          <w:rFonts w:ascii="Times New Roman" w:hAnsi="Times New Roman" w:cs="Times New Roman"/>
          <w:sz w:val="24"/>
        </w:rPr>
        <w:t xml:space="preserve"> </w:t>
      </w:r>
      <w:r w:rsidR="00DC61EE" w:rsidRPr="00686018">
        <w:rPr>
          <w:rFonts w:ascii="Times New Roman" w:hAnsi="Times New Roman" w:cs="Times New Roman"/>
          <w:sz w:val="24"/>
        </w:rPr>
        <w:t>anaerobio</w:t>
      </w:r>
      <w:r w:rsidR="00CB3BD2" w:rsidRPr="00686018">
        <w:rPr>
          <w:rFonts w:ascii="Times New Roman" w:hAnsi="Times New Roman" w:cs="Times New Roman"/>
          <w:sz w:val="24"/>
        </w:rPr>
        <w:t xml:space="preserve">. </w:t>
      </w:r>
      <w:r w:rsidR="00B129B4" w:rsidRPr="00686018">
        <w:rPr>
          <w:rFonts w:ascii="Times New Roman" w:hAnsi="Times New Roman" w:cs="Times New Roman"/>
          <w:sz w:val="24"/>
        </w:rPr>
        <w:t>El desecho</w:t>
      </w:r>
      <w:r w:rsidR="005442ED" w:rsidRPr="00686018">
        <w:rPr>
          <w:rFonts w:ascii="Times New Roman" w:hAnsi="Times New Roman" w:cs="Times New Roman"/>
          <w:sz w:val="24"/>
        </w:rPr>
        <w:t xml:space="preserve"> </w:t>
      </w:r>
      <w:r w:rsidR="004F156D" w:rsidRPr="00686018">
        <w:rPr>
          <w:rFonts w:ascii="Times New Roman" w:hAnsi="Times New Roman" w:cs="Times New Roman"/>
          <w:sz w:val="24"/>
        </w:rPr>
        <w:t xml:space="preserve">(residuo ruminal) </w:t>
      </w:r>
      <w:r w:rsidR="005442ED" w:rsidRPr="00686018">
        <w:rPr>
          <w:rFonts w:ascii="Times New Roman" w:hAnsi="Times New Roman" w:cs="Times New Roman"/>
          <w:sz w:val="24"/>
        </w:rPr>
        <w:t>procedente de</w:t>
      </w:r>
      <w:r w:rsidR="004F156D" w:rsidRPr="00686018">
        <w:rPr>
          <w:rFonts w:ascii="Times New Roman" w:hAnsi="Times New Roman" w:cs="Times New Roman"/>
          <w:sz w:val="24"/>
        </w:rPr>
        <w:t xml:space="preserve"> la</w:t>
      </w:r>
      <w:r w:rsidR="005442ED" w:rsidRPr="00686018">
        <w:rPr>
          <w:rFonts w:ascii="Times New Roman" w:hAnsi="Times New Roman" w:cs="Times New Roman"/>
          <w:sz w:val="24"/>
        </w:rPr>
        <w:t xml:space="preserve"> </w:t>
      </w:r>
      <w:r w:rsidRPr="00686018">
        <w:rPr>
          <w:rFonts w:ascii="Times New Roman" w:hAnsi="Times New Roman" w:cs="Times New Roman"/>
          <w:sz w:val="24"/>
        </w:rPr>
        <w:t xml:space="preserve">actividad </w:t>
      </w:r>
      <w:r w:rsidR="004F156D" w:rsidRPr="00686018">
        <w:rPr>
          <w:rFonts w:ascii="Times New Roman" w:hAnsi="Times New Roman" w:cs="Times New Roman"/>
          <w:sz w:val="24"/>
        </w:rPr>
        <w:t>de faenamiento diario</w:t>
      </w:r>
      <w:r w:rsidR="00CB3BD2" w:rsidRPr="00686018">
        <w:rPr>
          <w:rFonts w:ascii="Times New Roman" w:hAnsi="Times New Roman" w:cs="Times New Roman"/>
          <w:sz w:val="24"/>
        </w:rPr>
        <w:t>,</w:t>
      </w:r>
      <w:r w:rsidR="00DC61EE" w:rsidRPr="00686018">
        <w:rPr>
          <w:rFonts w:ascii="Times New Roman" w:hAnsi="Times New Roman" w:cs="Times New Roman"/>
          <w:sz w:val="24"/>
        </w:rPr>
        <w:t xml:space="preserve"> no serían un caso omiso para la recuperación</w:t>
      </w:r>
      <w:r w:rsidR="00CB3BD2" w:rsidRPr="00686018">
        <w:rPr>
          <w:rFonts w:ascii="Times New Roman" w:hAnsi="Times New Roman" w:cs="Times New Roman"/>
          <w:sz w:val="24"/>
        </w:rPr>
        <w:t xml:space="preserve"> </w:t>
      </w:r>
      <w:r w:rsidR="00590CBC" w:rsidRPr="00686018">
        <w:rPr>
          <w:rFonts w:ascii="Times New Roman" w:hAnsi="Times New Roman" w:cs="Times New Roman"/>
          <w:sz w:val="24"/>
        </w:rPr>
        <w:t>de biogás</w:t>
      </w:r>
      <w:r w:rsidR="00DC61EE" w:rsidRPr="00686018">
        <w:rPr>
          <w:rFonts w:ascii="Times New Roman" w:hAnsi="Times New Roman" w:cs="Times New Roman"/>
          <w:sz w:val="24"/>
        </w:rPr>
        <w:t xml:space="preserve"> </w:t>
      </w:r>
      <w:r w:rsidR="00CB3BD2" w:rsidRPr="00686018">
        <w:rPr>
          <w:rFonts w:ascii="Times New Roman" w:hAnsi="Times New Roman" w:cs="Times New Roman"/>
          <w:sz w:val="24"/>
        </w:rPr>
        <w:t>y a su vez sea capaz</w:t>
      </w:r>
      <w:r w:rsidR="00DC61EE" w:rsidRPr="00686018">
        <w:rPr>
          <w:rFonts w:ascii="Times New Roman" w:hAnsi="Times New Roman" w:cs="Times New Roman"/>
          <w:sz w:val="24"/>
        </w:rPr>
        <w:t xml:space="preserve"> de</w:t>
      </w:r>
      <w:r w:rsidR="005442ED" w:rsidRPr="00686018">
        <w:rPr>
          <w:rFonts w:ascii="Times New Roman" w:hAnsi="Times New Roman" w:cs="Times New Roman"/>
          <w:sz w:val="24"/>
        </w:rPr>
        <w:t xml:space="preserve"> </w:t>
      </w:r>
      <w:r w:rsidR="00CB3BD2" w:rsidRPr="00686018">
        <w:rPr>
          <w:rFonts w:ascii="Times New Roman" w:hAnsi="Times New Roman" w:cs="Times New Roman"/>
          <w:sz w:val="24"/>
        </w:rPr>
        <w:t xml:space="preserve">llevar </w:t>
      </w:r>
      <w:r w:rsidR="00590CBC" w:rsidRPr="00686018">
        <w:rPr>
          <w:rFonts w:ascii="Times New Roman" w:hAnsi="Times New Roman" w:cs="Times New Roman"/>
          <w:sz w:val="24"/>
        </w:rPr>
        <w:t xml:space="preserve">a futuro </w:t>
      </w:r>
      <w:r w:rsidR="00CB3BD2" w:rsidRPr="00686018">
        <w:rPr>
          <w:rFonts w:ascii="Times New Roman" w:hAnsi="Times New Roman" w:cs="Times New Roman"/>
          <w:sz w:val="24"/>
        </w:rPr>
        <w:t>a la</w:t>
      </w:r>
      <w:r w:rsidR="004F156D" w:rsidRPr="00686018">
        <w:rPr>
          <w:rFonts w:ascii="Times New Roman" w:hAnsi="Times New Roman" w:cs="Times New Roman"/>
          <w:sz w:val="24"/>
        </w:rPr>
        <w:t xml:space="preserve"> planta de faenamiento</w:t>
      </w:r>
      <w:r w:rsidR="00CB3BD2" w:rsidRPr="00686018">
        <w:rPr>
          <w:rFonts w:ascii="Times New Roman" w:hAnsi="Times New Roman" w:cs="Times New Roman"/>
          <w:sz w:val="24"/>
        </w:rPr>
        <w:t xml:space="preserve"> del cual procede a la autosuficiencia energética.</w:t>
      </w:r>
      <w:r w:rsidR="005442ED" w:rsidRPr="00686018">
        <w:rPr>
          <w:rFonts w:ascii="Times New Roman" w:hAnsi="Times New Roman" w:cs="Times New Roman"/>
          <w:sz w:val="24"/>
        </w:rPr>
        <w:t xml:space="preserve">  </w:t>
      </w:r>
      <w:r w:rsidR="00CB3BD2" w:rsidRPr="00686018">
        <w:rPr>
          <w:rFonts w:ascii="Times New Roman" w:hAnsi="Times New Roman" w:cs="Times New Roman"/>
          <w:sz w:val="24"/>
        </w:rPr>
        <w:t xml:space="preserve"> </w:t>
      </w:r>
      <w:r w:rsidR="00CB3BD2" w:rsidRPr="00686018">
        <w:rPr>
          <w:rFonts w:ascii="Times New Roman" w:hAnsi="Times New Roman" w:cs="Times New Roman"/>
          <w:sz w:val="24"/>
          <w:szCs w:val="24"/>
        </w:rPr>
        <w:t>Existen pues</w:t>
      </w:r>
      <w:r w:rsidR="007643B5" w:rsidRPr="00686018">
        <w:rPr>
          <w:rFonts w:ascii="Times New Roman" w:hAnsi="Times New Roman" w:cs="Times New Roman"/>
          <w:sz w:val="24"/>
          <w:szCs w:val="24"/>
        </w:rPr>
        <w:t xml:space="preserve"> factores limitantes que deben ser identificados y llevados a niveles óptimos y más aún si de un sustrato nuevo se trata que garantice tal</w:t>
      </w:r>
      <w:r w:rsidR="00CB3BD2" w:rsidRPr="00686018">
        <w:rPr>
          <w:rFonts w:ascii="Times New Roman" w:hAnsi="Times New Roman" w:cs="Times New Roman"/>
          <w:sz w:val="24"/>
          <w:szCs w:val="24"/>
        </w:rPr>
        <w:t xml:space="preserve"> recuperación </w:t>
      </w:r>
      <w:r w:rsidR="00590CBC" w:rsidRPr="00686018">
        <w:rPr>
          <w:rFonts w:ascii="Times New Roman" w:hAnsi="Times New Roman" w:cs="Times New Roman"/>
          <w:sz w:val="24"/>
          <w:szCs w:val="24"/>
        </w:rPr>
        <w:t>de biogás</w:t>
      </w:r>
      <w:r w:rsidR="007643B5" w:rsidRPr="00686018">
        <w:rPr>
          <w:rFonts w:ascii="Times New Roman" w:hAnsi="Times New Roman" w:cs="Times New Roman"/>
          <w:sz w:val="24"/>
          <w:szCs w:val="24"/>
        </w:rPr>
        <w:t>, estos factores son</w:t>
      </w:r>
      <w:r w:rsidR="0027444F" w:rsidRPr="00686018">
        <w:rPr>
          <w:rFonts w:ascii="Times New Roman" w:hAnsi="Times New Roman" w:cs="Times New Roman"/>
          <w:sz w:val="24"/>
          <w:szCs w:val="24"/>
        </w:rPr>
        <w:t>: razón de inóculo a sustrato, razón de sustrato a co-sustrato óptimo, carga orgánica, pH inicial, temperatura</w:t>
      </w:r>
      <w:r w:rsidR="000C358A">
        <w:rPr>
          <w:rFonts w:ascii="Times New Roman" w:hAnsi="Times New Roman" w:cs="Times New Roman"/>
          <w:sz w:val="24"/>
          <w:szCs w:val="24"/>
        </w:rPr>
        <w:t xml:space="preserve"> de digestión y razón C/N </w:t>
      </w:r>
      <w:r w:rsidR="000C358A">
        <w:rPr>
          <w:rFonts w:ascii="Times New Roman" w:hAnsi="Times New Roman" w:cs="Times New Roman"/>
          <w:sz w:val="24"/>
          <w:szCs w:val="24"/>
        </w:rPr>
        <w:fldChar w:fldCharType="begin" w:fldLock="1"/>
      </w:r>
      <w:r w:rsidR="009450BE">
        <w:rPr>
          <w:rFonts w:ascii="Times New Roman" w:hAnsi="Times New Roman" w:cs="Times New Roman"/>
          <w:sz w:val="24"/>
          <w:szCs w:val="24"/>
        </w:rPr>
        <w:instrText>ADDIN CSL_CITATION {"citationItems":[{"id":"ITEM-1","itemData":{"DOI":"10.1016/j.rser.2017.05.137","ISBN":"1364-0321","ISSN":"18790690","abstract":"Anaerobic digestion is a versatile biotechnology for conversion of organic wastes to valuable biogas. Anaerobic digestion of manure is making the most of it, as the process allows simultaneous bio-energy generation, production of nutrient rich soil amendment, reduced emission of greenhouse gases and odor control; it is thus in line with climate friendly farming practices. Despite the enumerated advantages, the potential of manure for biogas production is not fully utilized due to the low and imbalance carbon to nitrogen (C/N) ratio in animal manures. To satisfy the anaerobic digestion requirements and to compensate the carbon deficiency of manure, there should be another carbon-rich substrate to be co-digested with manure to improve its characteristics for anaerobic digestion; lignocellulosic biomass residues seem promising for this purpose. This work presents a review on anaerobic co-digestion of animal manure and lignocellulosic feedstock for biogas production. Several research studies conducted on co-digestion of these organic wastes are described and reviewed. The impact of numerous parameters including temperature, pH, organic loading rate (OLR), hydraulic retention time (HRT), C/N ratio, alkalinity and concentration of volatile fatty acids (VFAs) on the performance and stability of the co-digestion process is extensively discussed. The influence of various pretreatment methods including physical, chemical and biological pretreatments on providing well-prepared substrate for anaerobic co-digestion and thus enhancement of biogas production is discussed. An overview of the most significant factors and intermediates which can inhibit or even cease the process is also presented.","author":[{"dropping-particle":"","family":"Neshat","given":"Soheil A.","non-dropping-particle":"","parse-names":false,"suffix":""},{"dropping-particle":"","family":"Mohammadi","given":"Maedeh","non-dropping-particle":"","parse-names":false,"suffix":""},{"dropping-particle":"","family":"Najafpour","given":"Ghasem D.","non-dropping-particle":"","parse-names":false,"suffix":""},{"dropping-particle":"","family":"Lahijani","given":"Pooya","non-dropping-particle":"","parse-names":false,"suffix":""}],"container-title":"Renewable and Sustainable Energy Reviews","id":"ITEM-1","issue":"July 2016","issued":{"date-parts":[["2017"]]},"page":"308-322","publisher":"Elsevier Ltd","title":"Anaerobic co-digestion of animal manures and lignocellulosic residues as a potent approach for sustainable biogas production","type":"article-journal","volume":"79"},"uris":["http://www.mendeley.com/documents/?uuid=79ec5037-db0a-4c66-a384-cbaaaf810b7b"]}],"mendeley":{"formattedCitation":"(Neshat et al. 2017)","plainTextFormattedCitation":"(Neshat et al. 2017)","previouslyFormattedCitation":"(Neshat et al. 2017)"},"properties":{"noteIndex":0},"schema":"https://github.com/citation-style-language/schema/raw/master/csl-citation.json"}</w:instrText>
      </w:r>
      <w:r w:rsidR="000C358A">
        <w:rPr>
          <w:rFonts w:ascii="Times New Roman" w:hAnsi="Times New Roman" w:cs="Times New Roman"/>
          <w:sz w:val="24"/>
          <w:szCs w:val="24"/>
        </w:rPr>
        <w:fldChar w:fldCharType="separate"/>
      </w:r>
      <w:r w:rsidR="000C358A" w:rsidRPr="000C358A">
        <w:rPr>
          <w:rFonts w:ascii="Times New Roman" w:hAnsi="Times New Roman" w:cs="Times New Roman"/>
          <w:noProof/>
          <w:sz w:val="24"/>
          <w:szCs w:val="24"/>
        </w:rPr>
        <w:t xml:space="preserve">(Neshat </w:t>
      </w:r>
      <w:r w:rsidR="00C80D09">
        <w:rPr>
          <w:rFonts w:ascii="Times New Roman" w:hAnsi="Times New Roman" w:cs="Times New Roman"/>
          <w:noProof/>
          <w:sz w:val="24"/>
          <w:szCs w:val="24"/>
        </w:rPr>
        <w:t>et al.,</w:t>
      </w:r>
      <w:r w:rsidR="000C358A" w:rsidRPr="000C358A">
        <w:rPr>
          <w:rFonts w:ascii="Times New Roman" w:hAnsi="Times New Roman" w:cs="Times New Roman"/>
          <w:noProof/>
          <w:sz w:val="24"/>
          <w:szCs w:val="24"/>
        </w:rPr>
        <w:t xml:space="preserve"> 2017)</w:t>
      </w:r>
      <w:r w:rsidR="000C358A">
        <w:rPr>
          <w:rFonts w:ascii="Times New Roman" w:hAnsi="Times New Roman" w:cs="Times New Roman"/>
          <w:sz w:val="24"/>
          <w:szCs w:val="24"/>
        </w:rPr>
        <w:fldChar w:fldCharType="end"/>
      </w:r>
      <w:r w:rsidR="0027444F" w:rsidRPr="00686018">
        <w:rPr>
          <w:rFonts w:ascii="Times New Roman" w:hAnsi="Times New Roman" w:cs="Times New Roman"/>
          <w:sz w:val="24"/>
          <w:szCs w:val="24"/>
        </w:rPr>
        <w:t xml:space="preserve">. </w:t>
      </w:r>
      <w:r w:rsidR="009271E1" w:rsidRPr="00686018">
        <w:rPr>
          <w:rFonts w:ascii="Times New Roman" w:hAnsi="Times New Roman" w:cs="Times New Roman"/>
          <w:sz w:val="24"/>
          <w:szCs w:val="24"/>
        </w:rPr>
        <w:t xml:space="preserve">Las condiciones óptimas identificadas acerca del sustrato proveerán una base técnica y científica para el escalamiento piloto posterior. </w:t>
      </w:r>
    </w:p>
    <w:p w:rsidR="009271E1" w:rsidRPr="00686018" w:rsidRDefault="009271E1" w:rsidP="00A31608">
      <w:pPr>
        <w:jc w:val="both"/>
        <w:rPr>
          <w:rFonts w:ascii="Times New Roman" w:hAnsi="Times New Roman" w:cs="Times New Roman"/>
          <w:sz w:val="24"/>
        </w:rPr>
      </w:pPr>
      <w:r w:rsidRPr="00686018">
        <w:rPr>
          <w:rFonts w:ascii="Times New Roman" w:hAnsi="Times New Roman" w:cs="Times New Roman"/>
          <w:sz w:val="24"/>
          <w:szCs w:val="24"/>
        </w:rPr>
        <w:t xml:space="preserve">Ya que la energía es indispensable </w:t>
      </w:r>
      <w:r w:rsidR="004F156D" w:rsidRPr="00686018">
        <w:rPr>
          <w:rFonts w:ascii="Times New Roman" w:hAnsi="Times New Roman" w:cs="Times New Roman"/>
          <w:sz w:val="24"/>
          <w:szCs w:val="24"/>
        </w:rPr>
        <w:t xml:space="preserve">para </w:t>
      </w:r>
      <w:r w:rsidR="00712A8B" w:rsidRPr="00686018">
        <w:rPr>
          <w:rFonts w:ascii="Times New Roman" w:hAnsi="Times New Roman" w:cs="Times New Roman"/>
          <w:sz w:val="24"/>
          <w:szCs w:val="24"/>
        </w:rPr>
        <w:t xml:space="preserve">la </w:t>
      </w:r>
      <w:r w:rsidR="004F156D" w:rsidRPr="00686018">
        <w:rPr>
          <w:rFonts w:ascii="Times New Roman" w:hAnsi="Times New Roman" w:cs="Times New Roman"/>
          <w:sz w:val="24"/>
          <w:szCs w:val="24"/>
        </w:rPr>
        <w:t xml:space="preserve">actividad de faenamiento </w:t>
      </w:r>
      <w:r w:rsidRPr="00686018">
        <w:rPr>
          <w:rFonts w:ascii="Times New Roman" w:hAnsi="Times New Roman" w:cs="Times New Roman"/>
          <w:sz w:val="24"/>
          <w:szCs w:val="24"/>
        </w:rPr>
        <w:t xml:space="preserve">y además representa un costo adicional que debe ser cubierto, la identificación de las condiciones óptimas que maximicen la generación de metano </w:t>
      </w:r>
      <w:r w:rsidR="00C661B2" w:rsidRPr="00686018">
        <w:rPr>
          <w:rFonts w:ascii="Times New Roman" w:hAnsi="Times New Roman" w:cs="Times New Roman"/>
          <w:sz w:val="24"/>
          <w:szCs w:val="24"/>
        </w:rPr>
        <w:t>posibilita</w:t>
      </w:r>
      <w:r w:rsidR="004F156D" w:rsidRPr="00686018">
        <w:rPr>
          <w:rFonts w:ascii="Times New Roman" w:hAnsi="Times New Roman" w:cs="Times New Roman"/>
          <w:sz w:val="24"/>
          <w:szCs w:val="24"/>
        </w:rPr>
        <w:t xml:space="preserve"> el escalamiento industrial y </w:t>
      </w:r>
      <w:r w:rsidRPr="00686018">
        <w:rPr>
          <w:rFonts w:ascii="Times New Roman" w:hAnsi="Times New Roman" w:cs="Times New Roman"/>
          <w:sz w:val="24"/>
          <w:szCs w:val="24"/>
        </w:rPr>
        <w:t xml:space="preserve">posterior conversión a </w:t>
      </w:r>
      <w:r w:rsidR="00590CBC" w:rsidRPr="00686018">
        <w:rPr>
          <w:rFonts w:ascii="Times New Roman" w:hAnsi="Times New Roman" w:cs="Times New Roman"/>
          <w:sz w:val="24"/>
          <w:szCs w:val="24"/>
        </w:rPr>
        <w:t xml:space="preserve">formas de energía </w:t>
      </w:r>
      <w:r w:rsidR="004F156D" w:rsidRPr="00686018">
        <w:rPr>
          <w:rFonts w:ascii="Times New Roman" w:hAnsi="Times New Roman" w:cs="Times New Roman"/>
          <w:sz w:val="24"/>
          <w:szCs w:val="24"/>
        </w:rPr>
        <w:t>que representará un ahorro económico para la planta de faenamiento.</w:t>
      </w:r>
    </w:p>
    <w:p w:rsidR="00686018" w:rsidRDefault="004F156D" w:rsidP="00A31608">
      <w:pPr>
        <w:tabs>
          <w:tab w:val="center" w:pos="4252"/>
        </w:tabs>
        <w:jc w:val="both"/>
        <w:rPr>
          <w:rFonts w:ascii="Times New Roman" w:hAnsi="Times New Roman" w:cs="Times New Roman"/>
          <w:sz w:val="24"/>
          <w:szCs w:val="24"/>
        </w:rPr>
      </w:pPr>
      <w:r w:rsidRPr="00686018">
        <w:rPr>
          <w:rFonts w:ascii="Times New Roman" w:hAnsi="Times New Roman" w:cs="Times New Roman"/>
          <w:sz w:val="24"/>
          <w:szCs w:val="24"/>
        </w:rPr>
        <w:lastRenderedPageBreak/>
        <w:t xml:space="preserve">Puesto que este residuo industrial </w:t>
      </w:r>
      <w:r w:rsidR="00B129B4" w:rsidRPr="00686018">
        <w:rPr>
          <w:rFonts w:ascii="Times New Roman" w:hAnsi="Times New Roman" w:cs="Times New Roman"/>
          <w:sz w:val="24"/>
          <w:szCs w:val="24"/>
        </w:rPr>
        <w:t xml:space="preserve">es muy abundante y </w:t>
      </w:r>
      <w:r w:rsidRPr="00686018">
        <w:rPr>
          <w:rFonts w:ascii="Times New Roman" w:hAnsi="Times New Roman" w:cs="Times New Roman"/>
          <w:sz w:val="24"/>
          <w:szCs w:val="24"/>
        </w:rPr>
        <w:t>medianamente</w:t>
      </w:r>
      <w:r w:rsidR="00B129B4" w:rsidRPr="00686018">
        <w:rPr>
          <w:rFonts w:ascii="Times New Roman" w:hAnsi="Times New Roman" w:cs="Times New Roman"/>
          <w:sz w:val="24"/>
          <w:szCs w:val="24"/>
        </w:rPr>
        <w:t xml:space="preserve"> tratado</w:t>
      </w:r>
      <w:r w:rsidRPr="00686018">
        <w:rPr>
          <w:rFonts w:ascii="Times New Roman" w:hAnsi="Times New Roman" w:cs="Times New Roman"/>
          <w:sz w:val="24"/>
          <w:szCs w:val="24"/>
        </w:rPr>
        <w:t xml:space="preserve"> por e</w:t>
      </w:r>
      <w:r w:rsidR="00590CBC" w:rsidRPr="00686018">
        <w:rPr>
          <w:rFonts w:ascii="Times New Roman" w:hAnsi="Times New Roman" w:cs="Times New Roman"/>
          <w:sz w:val="24"/>
          <w:szCs w:val="24"/>
        </w:rPr>
        <w:t>l compostaje</w:t>
      </w:r>
      <w:r w:rsidR="00BA6219" w:rsidRPr="00686018">
        <w:rPr>
          <w:rFonts w:ascii="Times New Roman" w:hAnsi="Times New Roman" w:cs="Times New Roman"/>
          <w:sz w:val="24"/>
          <w:szCs w:val="24"/>
        </w:rPr>
        <w:t xml:space="preserve"> el cual tiene como consecuencia la liberación directa de gases al medio</w:t>
      </w:r>
      <w:r w:rsidR="00590CBC" w:rsidRPr="00686018">
        <w:rPr>
          <w:rFonts w:ascii="Times New Roman" w:hAnsi="Times New Roman" w:cs="Times New Roman"/>
          <w:sz w:val="24"/>
          <w:szCs w:val="24"/>
        </w:rPr>
        <w:t>, una opción complementaria</w:t>
      </w:r>
      <w:r w:rsidR="00BA6219" w:rsidRPr="00686018">
        <w:rPr>
          <w:rFonts w:ascii="Times New Roman" w:hAnsi="Times New Roman" w:cs="Times New Roman"/>
          <w:sz w:val="24"/>
          <w:szCs w:val="24"/>
        </w:rPr>
        <w:t xml:space="preserve"> es la generación de biogás para minimizar</w:t>
      </w:r>
      <w:r w:rsidR="00B129B4" w:rsidRPr="00686018">
        <w:rPr>
          <w:rFonts w:ascii="Times New Roman" w:hAnsi="Times New Roman" w:cs="Times New Roman"/>
          <w:sz w:val="24"/>
          <w:szCs w:val="24"/>
        </w:rPr>
        <w:t xml:space="preserve"> o evitar la suma de la contaminación del aire </w:t>
      </w:r>
      <w:r w:rsidR="00661390" w:rsidRPr="00686018">
        <w:rPr>
          <w:rFonts w:ascii="Times New Roman" w:hAnsi="Times New Roman" w:cs="Times New Roman"/>
          <w:sz w:val="24"/>
          <w:szCs w:val="24"/>
        </w:rPr>
        <w:t xml:space="preserve">y agua </w:t>
      </w:r>
      <w:r w:rsidR="00B129B4" w:rsidRPr="00686018">
        <w:rPr>
          <w:rFonts w:ascii="Times New Roman" w:hAnsi="Times New Roman" w:cs="Times New Roman"/>
          <w:sz w:val="24"/>
          <w:szCs w:val="24"/>
        </w:rPr>
        <w:t>de los alrededores de la planta de faenamiento.</w:t>
      </w: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Default="00056941" w:rsidP="00A31608">
      <w:pPr>
        <w:tabs>
          <w:tab w:val="center" w:pos="4252"/>
        </w:tabs>
        <w:jc w:val="both"/>
        <w:rPr>
          <w:rFonts w:ascii="Times New Roman" w:hAnsi="Times New Roman" w:cs="Times New Roman"/>
          <w:sz w:val="24"/>
          <w:szCs w:val="24"/>
        </w:rPr>
      </w:pPr>
    </w:p>
    <w:p w:rsidR="00056941" w:rsidRPr="00686018" w:rsidRDefault="00056941" w:rsidP="00A31608">
      <w:pPr>
        <w:tabs>
          <w:tab w:val="center" w:pos="4252"/>
        </w:tabs>
        <w:jc w:val="both"/>
        <w:rPr>
          <w:rFonts w:ascii="Times New Roman" w:hAnsi="Times New Roman" w:cs="Times New Roman"/>
          <w:sz w:val="24"/>
          <w:szCs w:val="24"/>
        </w:rPr>
      </w:pPr>
    </w:p>
    <w:p w:rsidR="00353593" w:rsidRPr="00686018" w:rsidRDefault="003538F6" w:rsidP="00A31608">
      <w:pPr>
        <w:pStyle w:val="Ttulo1"/>
        <w:jc w:val="both"/>
        <w:rPr>
          <w:rFonts w:cs="Times New Roman"/>
        </w:rPr>
      </w:pPr>
      <w:bookmarkStart w:id="45" w:name="_Toc534724622"/>
      <w:bookmarkStart w:id="46" w:name="_Toc534817231"/>
      <w:bookmarkStart w:id="47" w:name="_Toc534817414"/>
      <w:bookmarkStart w:id="48" w:name="_Toc534817721"/>
      <w:bookmarkStart w:id="49" w:name="_Toc535410424"/>
      <w:bookmarkStart w:id="50" w:name="_Toc535410490"/>
      <w:bookmarkStart w:id="51" w:name="_Toc9537780"/>
      <w:r w:rsidRPr="00686018">
        <w:rPr>
          <w:rFonts w:cs="Times New Roman"/>
        </w:rPr>
        <w:lastRenderedPageBreak/>
        <w:t>CAPITULO III</w:t>
      </w:r>
      <w:bookmarkEnd w:id="45"/>
      <w:bookmarkEnd w:id="46"/>
      <w:bookmarkEnd w:id="47"/>
      <w:bookmarkEnd w:id="48"/>
      <w:bookmarkEnd w:id="49"/>
      <w:bookmarkEnd w:id="50"/>
      <w:bookmarkEnd w:id="51"/>
    </w:p>
    <w:p w:rsidR="00DF46F4" w:rsidRPr="00686018" w:rsidRDefault="00DF46F4" w:rsidP="00A31608">
      <w:pPr>
        <w:pStyle w:val="Ttulo2"/>
        <w:numPr>
          <w:ilvl w:val="0"/>
          <w:numId w:val="4"/>
        </w:numPr>
        <w:jc w:val="both"/>
        <w:rPr>
          <w:rFonts w:cs="Times New Roman"/>
        </w:rPr>
      </w:pPr>
      <w:bookmarkStart w:id="52" w:name="_Toc534817240"/>
      <w:bookmarkStart w:id="53" w:name="_Toc534817423"/>
      <w:bookmarkStart w:id="54" w:name="_Toc534817730"/>
      <w:bookmarkStart w:id="55" w:name="_Toc535410433"/>
      <w:bookmarkStart w:id="56" w:name="_Toc535410499"/>
      <w:bookmarkStart w:id="57" w:name="_Toc9537781"/>
      <w:r w:rsidRPr="00686018">
        <w:rPr>
          <w:rFonts w:cs="Times New Roman"/>
        </w:rPr>
        <w:t>MARCO TEÓRICO</w:t>
      </w:r>
      <w:bookmarkEnd w:id="52"/>
      <w:bookmarkEnd w:id="53"/>
      <w:bookmarkEnd w:id="54"/>
      <w:bookmarkEnd w:id="55"/>
      <w:bookmarkEnd w:id="56"/>
      <w:bookmarkEnd w:id="57"/>
    </w:p>
    <w:p w:rsidR="00DF46F4" w:rsidRPr="00686018" w:rsidRDefault="00DF46F4" w:rsidP="00A31608">
      <w:pPr>
        <w:pStyle w:val="Ttulo3"/>
        <w:numPr>
          <w:ilvl w:val="1"/>
          <w:numId w:val="4"/>
        </w:numPr>
        <w:ind w:left="431" w:hanging="431"/>
        <w:jc w:val="both"/>
        <w:rPr>
          <w:rFonts w:ascii="Times New Roman" w:hAnsi="Times New Roman" w:cs="Times New Roman"/>
          <w:i w:val="0"/>
        </w:rPr>
      </w:pPr>
      <w:bookmarkStart w:id="58" w:name="_Toc534817242"/>
      <w:bookmarkStart w:id="59" w:name="_Toc534817425"/>
      <w:bookmarkStart w:id="60" w:name="_Toc534817732"/>
      <w:bookmarkStart w:id="61" w:name="_Toc535410435"/>
      <w:bookmarkStart w:id="62" w:name="_Toc9537782"/>
      <w:r w:rsidRPr="00686018">
        <w:rPr>
          <w:rFonts w:ascii="Times New Roman" w:hAnsi="Times New Roman" w:cs="Times New Roman"/>
          <w:i w:val="0"/>
        </w:rPr>
        <w:t>Digestión anaerobia</w:t>
      </w:r>
      <w:bookmarkEnd w:id="58"/>
      <w:bookmarkEnd w:id="59"/>
      <w:bookmarkEnd w:id="60"/>
      <w:bookmarkEnd w:id="61"/>
      <w:bookmarkEnd w:id="62"/>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La digestión anaerobia (DA) es un proceso bioquímico realizado por la acción conjunta de varios grupos de microorganismos encargados de transformar bajo condiciones de ausencia de oxígeno molecular, material orgánico complejo como carbohidratos, proteínas y lípidos en moléculas de menor peso como los azúcares, aminoácidos y ácidos grasos volátil</w:t>
      </w:r>
      <w:r w:rsidR="00F15885" w:rsidRPr="00686018">
        <w:rPr>
          <w:rFonts w:ascii="Times New Roman" w:hAnsi="Times New Roman" w:cs="Times New Roman"/>
          <w:sz w:val="24"/>
        </w:rPr>
        <w:t>es (AGV</w:t>
      </w:r>
      <w:r w:rsidRPr="00686018">
        <w:rPr>
          <w:rFonts w:ascii="Times New Roman" w:hAnsi="Times New Roman" w:cs="Times New Roman"/>
          <w:sz w:val="24"/>
        </w:rPr>
        <w:t xml:space="preserve">) que son solubles en agua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{"citationItems":[{"id":"ITEM-1","itemData":{"DOI":"https://doi.org/10.1016/B978-0-12-407909-0.00018-3","ISBN":"978-0-12-407909-0","abstract":"Anaerobic digestion is a renewable energy technology that produces biogas. Biogas can be used to conduct work that has social benefits, such as the production of electricity or heat. Anaerobic digestion must be managed properly to generate biogas. Anaerobic digesters provide the vehicle to manage the anaerobic digestion process to maximize biogas production and stabilize slurry. Feedstocks, or biomass, are fed to a digester to create biogas. Feedstocks vary in their biogas production potential. Anaerobic digestion is a complex biochemical reaction carried out in a number of steps by several types of microorganisms that require no oxygen to live. This reaction produces biogas, which is primarily composed of methane and CO2. A great variety of organic material can be used as feedstocks for generating biogas. All anaerobic digesters perform the same basic function. They hold organic matter in the absence of oxygen and maintain proper conditions for methane forming microorganisms to grow. There are a wide variety of anaerobic digesters, each performing this basic function in a subtly different way. Construction and material handling techniques can vary greatly within the two categories of digesters described here: attached growth and suspended growth systems.","author":[{"dropping-particle":"","family":"Gould","given":"M Charles","non-dropping-particle":"","parse-names":false,"suffix":""}],"editor":[{"dropping-particle":"","family":"Dahiya","given":"Anju B T - Bioenergy","non-dropping-particle":"","parse-names":false,"suffix":""}],"id":"ITEM-1","issued":{"date-parts":[["2015"]]},"page":"297-317","publisher":"Academic Press","publisher-place":"Boston","title":"Chapter 18 - Bioenergy and Anaerobic Digestion","type":"chapter"},"uris":["http://www.mendeley.com/documents/?uuid=8df0629a-43c2-46cd-ab58-589bbc1927b5"]}],"mendeley":{"formattedCitation":"(Gould 2015)","plainTextFormattedCitation":"(Gould 2015)","previouslyFormattedCitation":"(Gould 2015)"},"properties":{"noteIndex":0},"schema":"https://github.com/citation-style-language/schema/raw/master/csl-citation.json"}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(Gould</w:t>
      </w:r>
      <w:r w:rsidR="00C80D09">
        <w:rPr>
          <w:rFonts w:ascii="Times New Roman" w:hAnsi="Times New Roman" w:cs="Times New Roman"/>
          <w:noProof/>
          <w:sz w:val="24"/>
        </w:rPr>
        <w:t>,</w:t>
      </w:r>
      <w:r w:rsidRPr="00686018">
        <w:rPr>
          <w:rFonts w:ascii="Times New Roman" w:hAnsi="Times New Roman" w:cs="Times New Roman"/>
          <w:noProof/>
          <w:sz w:val="24"/>
        </w:rPr>
        <w:t xml:space="preserve"> 2015)</w:t>
      </w:r>
      <w:r w:rsidRPr="00686018">
        <w:rPr>
          <w:rFonts w:ascii="Times New Roman" w:hAnsi="Times New Roman" w:cs="Times New Roman"/>
          <w:sz w:val="24"/>
        </w:rPr>
        <w:fldChar w:fldCharType="end"/>
      </w:r>
      <w:r w:rsidR="00D96D6E" w:rsidRPr="00686018">
        <w:rPr>
          <w:rFonts w:ascii="Times New Roman" w:hAnsi="Times New Roman" w:cs="Times New Roman"/>
          <w:sz w:val="24"/>
        </w:rPr>
        <w:t>.</w:t>
      </w:r>
      <w:r w:rsidRPr="00686018">
        <w:rPr>
          <w:rFonts w:ascii="Times New Roman" w:hAnsi="Times New Roman" w:cs="Times New Roman"/>
          <w:color w:val="FF0000"/>
          <w:sz w:val="24"/>
        </w:rPr>
        <w:t xml:space="preserve"> </w:t>
      </w:r>
      <w:r w:rsidRPr="00686018">
        <w:rPr>
          <w:rFonts w:ascii="Times New Roman" w:hAnsi="Times New Roman" w:cs="Times New Roman"/>
          <w:sz w:val="24"/>
        </w:rPr>
        <w:t xml:space="preserve">Como producto final se obtiene biogás compuesto principalmente por gas metano (60-70%), que puede ser aprovechado para la generación de calor o combustible; </w:t>
      </w:r>
      <w:r w:rsidRPr="00686018">
        <w:rPr>
          <w:rFonts w:ascii="Times New Roman" w:hAnsi="Times New Roman" w:cs="Times New Roman"/>
          <w:sz w:val="24"/>
          <w:szCs w:val="24"/>
        </w:rPr>
        <w:t>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xml:space="preserve"> y cantidades menores de nitrógeno, hidrogeno, sulfuro de hidrógeno, amoniaco y vapor de agua</w:t>
      </w:r>
      <w:r w:rsidR="00F776E5" w:rsidRPr="00686018">
        <w:rPr>
          <w:rFonts w:ascii="Times New Roman" w:hAnsi="Times New Roman" w:cs="Times New Roman"/>
          <w:sz w:val="24"/>
          <w:szCs w:val="24"/>
        </w:rPr>
        <w:t xml:space="preserve"> </w:t>
      </w:r>
      <w:sdt>
        <w:sdtPr>
          <w:rPr>
            <w:rFonts w:ascii="Times New Roman" w:hAnsi="Times New Roman" w:cs="Times New Roman"/>
            <w:sz w:val="24"/>
            <w:szCs w:val="24"/>
          </w:rPr>
          <w:id w:val="202678323"/>
          <w:citation/>
        </w:sdtPr>
        <w:sdtEndPr/>
        <w:sdtContent>
          <w:r w:rsidRPr="00686018">
            <w:rPr>
              <w:rFonts w:ascii="Times New Roman" w:hAnsi="Times New Roman" w:cs="Times New Roman"/>
              <w:sz w:val="24"/>
              <w:szCs w:val="24"/>
            </w:rPr>
            <w:fldChar w:fldCharType="begin"/>
          </w:r>
          <w:r w:rsidRPr="00686018">
            <w:rPr>
              <w:rFonts w:ascii="Times New Roman" w:hAnsi="Times New Roman" w:cs="Times New Roman"/>
              <w:sz w:val="24"/>
              <w:szCs w:val="24"/>
            </w:rPr>
            <w:instrText xml:space="preserve"> CITATION Met03 \l 12298 </w:instrText>
          </w:r>
          <w:r w:rsidRPr="00686018">
            <w:rPr>
              <w:rFonts w:ascii="Times New Roman" w:hAnsi="Times New Roman" w:cs="Times New Roman"/>
              <w:sz w:val="24"/>
              <w:szCs w:val="24"/>
            </w:rPr>
            <w:fldChar w:fldCharType="separate"/>
          </w:r>
          <w:r w:rsidR="00F737D9" w:rsidRPr="00686018">
            <w:rPr>
              <w:rFonts w:ascii="Times New Roman" w:hAnsi="Times New Roman" w:cs="Times New Roman"/>
              <w:noProof/>
              <w:sz w:val="24"/>
              <w:szCs w:val="24"/>
            </w:rPr>
            <w:t>(Inc 2003)</w:t>
          </w:r>
          <w:r w:rsidRPr="00686018">
            <w:rPr>
              <w:rFonts w:ascii="Times New Roman" w:hAnsi="Times New Roman" w:cs="Times New Roman"/>
              <w:sz w:val="24"/>
              <w:szCs w:val="24"/>
            </w:rPr>
            <w:fldChar w:fldCharType="end"/>
          </w:r>
        </w:sdtContent>
      </w:sdt>
      <w:r w:rsidRPr="00686018">
        <w:rPr>
          <w:rFonts w:ascii="Times New Roman" w:hAnsi="Times New Roman" w:cs="Times New Roman"/>
          <w:sz w:val="24"/>
        </w:rPr>
        <w:t xml:space="preserve">, además de un material digerido que puede ser sólido o líquido </w:t>
      </w:r>
      <w:r w:rsidRPr="00686018">
        <w:rPr>
          <w:rFonts w:ascii="Times New Roman" w:hAnsi="Times New Roman" w:cs="Times New Roman"/>
          <w:sz w:val="24"/>
          <w:szCs w:val="24"/>
        </w:rPr>
        <w:t>rico en nutrientes, útil como fertilizante</w:t>
      </w:r>
      <w:r w:rsidRPr="00686018">
        <w:rPr>
          <w:rFonts w:ascii="Times New Roman" w:hAnsi="Times New Roman" w:cs="Times New Roman"/>
        </w:rPr>
        <w:t xml:space="preserve"> </w:t>
      </w:r>
      <w:r w:rsidRPr="00686018">
        <w:rPr>
          <w:rFonts w:ascii="Times New Roman" w:hAnsi="Times New Roman" w:cs="Times New Roman"/>
          <w:sz w:val="24"/>
          <w:szCs w:val="24"/>
        </w:rPr>
        <w:t xml:space="preserve">o acondicionador de suelos </w:t>
      </w:r>
      <w:r w:rsidR="00697B52" w:rsidRPr="00686018">
        <w:rPr>
          <w:rFonts w:ascii="Times New Roman" w:hAnsi="Times New Roman" w:cs="Times New Roman"/>
          <w:sz w:val="24"/>
          <w:szCs w:val="24"/>
        </w:rPr>
        <w:fldChar w:fldCharType="begin" w:fldLock="1"/>
      </w:r>
      <w:r w:rsidR="00697B52" w:rsidRPr="00686018">
        <w:rPr>
          <w:rFonts w:ascii="Times New Roman" w:hAnsi="Times New Roman" w:cs="Times New Roman"/>
          <w:sz w:val="24"/>
          <w:szCs w:val="24"/>
        </w:rPr>
        <w:instrText>ADDIN CSL_CITATION {"citationItems":[{"id":"ITEM-1","itemData":{"DOI":"10.20937/RICA.2017.33.01.10","ISSN":"01884999","abstract":"Hoy en día se necesitan nuevas fuentes de producción de energía. Además, hay un incremento de los residuos agrícolas que representan un problema ambiental. El propósito del presente estudio fue comparar la digestión anaerobia de excretas de borrego con la codigestión anaerobia de excretas de borrego más lodos de aguas residuales y la codigestión anaerobia de excretas de borrego más rumen. Los resultados mostraron que el tratamiento T1 (excretas de borrego-lodos de aguas residuales), produjo una menor cantidad de biogás, 35.47 L, comparado con el tratamiento T2 (excretas de borrego-rumen) y el tratamiento T3 (excretas de borrego), con 42.14 L y 43.83 L respectivamente. El análisis estadístico de la composición de biogás mostró que los valores de CH4 y CO2, no fueron significativamente diferentes (P = 0.5660 y 0.2589). Los valores de H2S (P = 0.0379), mostraron que la concentración fue menor en el tratamiento T1 que en el tratamiento T3. Si los residuos agrícolas son utilizados apropiadamente con codigestión anaerobia pueden ser convertidos en energía.","author":[{"dropping-particle":"","family":"Sarabia Méndez","given":"Marco Antonio","non-dropping-particle":"","parse-names":false,"suffix":""},{"dropping-particle":"","family":"Laines Canepa","given":"José Ramón","non-dropping-particle":"","parse-names":false,"suffix":""},{"dropping-particle":"","family":"Sosa Olivier","given":"José Aurelio","non-dropping-particle":"","parse-names":false,"suffix":""},{"dropping-particle":"","family":"Escalante Espinosa","given":"Erika","non-dropping-particle":"","parse-names":false,"suffix":""}],"container-title":"Revista Internacional de Contaminacion Ambiental","id":"ITEM-1","issue":"1","issued":{"date-parts":[["2017"]]},"page":"109-116","title":"ProducciÓn de biogÁs mediante codigestiÓn anaerobia de excretas de borrego y rumen adicionadas con lodos procedentes de una planta de aguas residuales","type":"article-journal","volume":"33"},"uris":["http://www.mendeley.com/documents/?uuid=f824fc34-5534-4bf9-b4b6-f4637cd3d770"]}],"mendeley":{"formattedCitation":"(Sarabia Méndez et al. 2017)","plainTextFormattedCitation":"(Sarabia Méndez et al. 2017)","previouslyFormattedCitation":"(Sarabia Méndez et al. 2017)"},"properties":{"noteIndex":0},"schema":"https://github.com/citation-style-language/schema/raw/master/csl-citation.json"}</w:instrText>
      </w:r>
      <w:r w:rsidR="00697B52" w:rsidRPr="00686018">
        <w:rPr>
          <w:rFonts w:ascii="Times New Roman" w:hAnsi="Times New Roman" w:cs="Times New Roman"/>
          <w:sz w:val="24"/>
          <w:szCs w:val="24"/>
        </w:rPr>
        <w:fldChar w:fldCharType="separate"/>
      </w:r>
      <w:r w:rsidR="00697B52" w:rsidRPr="00686018">
        <w:rPr>
          <w:rFonts w:ascii="Times New Roman" w:hAnsi="Times New Roman" w:cs="Times New Roman"/>
          <w:noProof/>
          <w:sz w:val="24"/>
          <w:szCs w:val="24"/>
        </w:rPr>
        <w:t xml:space="preserve">(Sarabia Méndez </w:t>
      </w:r>
      <w:r w:rsidR="00C80D09">
        <w:rPr>
          <w:rFonts w:ascii="Times New Roman" w:hAnsi="Times New Roman" w:cs="Times New Roman"/>
          <w:noProof/>
          <w:sz w:val="24"/>
          <w:szCs w:val="24"/>
        </w:rPr>
        <w:t>et al.,</w:t>
      </w:r>
      <w:r w:rsidR="00697B52" w:rsidRPr="00686018">
        <w:rPr>
          <w:rFonts w:ascii="Times New Roman" w:hAnsi="Times New Roman" w:cs="Times New Roman"/>
          <w:noProof/>
          <w:sz w:val="24"/>
          <w:szCs w:val="24"/>
        </w:rPr>
        <w:t xml:space="preserve"> 2017)</w:t>
      </w:r>
      <w:r w:rsidR="00697B52" w:rsidRPr="00686018">
        <w:rPr>
          <w:rFonts w:ascii="Times New Roman" w:hAnsi="Times New Roman" w:cs="Times New Roman"/>
          <w:sz w:val="24"/>
          <w:szCs w:val="24"/>
        </w:rPr>
        <w:fldChar w:fldCharType="end"/>
      </w:r>
      <w:r w:rsidR="000C358A">
        <w:rPr>
          <w:rFonts w:ascii="Times New Roman" w:hAnsi="Times New Roman" w:cs="Times New Roman"/>
          <w:sz w:val="24"/>
          <w:szCs w:val="24"/>
        </w:rPr>
        <w:t>.</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La obtención de biogás ocurre en cuatro etapas: Hidrolisis, acidogénesis</w:t>
      </w:r>
      <w:r w:rsidR="00712A8B" w:rsidRPr="00686018">
        <w:rPr>
          <w:rFonts w:ascii="Times New Roman" w:hAnsi="Times New Roman" w:cs="Times New Roman"/>
          <w:sz w:val="24"/>
          <w:szCs w:val="24"/>
        </w:rPr>
        <w:t>, acetogénesis y metan</w:t>
      </w:r>
      <w:r w:rsidRPr="00686018">
        <w:rPr>
          <w:rFonts w:ascii="Times New Roman" w:hAnsi="Times New Roman" w:cs="Times New Roman"/>
          <w:sz w:val="24"/>
          <w:szCs w:val="24"/>
        </w:rPr>
        <w:t>ogénesis</w:t>
      </w:r>
      <w:r w:rsidR="00560E1E" w:rsidRPr="00686018">
        <w:rPr>
          <w:rFonts w:ascii="Times New Roman" w:hAnsi="Times New Roman" w:cs="Times New Roman"/>
          <w:sz w:val="24"/>
          <w:szCs w:val="24"/>
        </w:rPr>
        <w:t xml:space="preserve"> </w:t>
      </w:r>
      <w:r w:rsidR="00560E1E" w:rsidRPr="00686018">
        <w:rPr>
          <w:rFonts w:ascii="Times New Roman" w:hAnsi="Times New Roman" w:cs="Times New Roman"/>
          <w:sz w:val="24"/>
          <w:szCs w:val="24"/>
        </w:rPr>
        <w:fldChar w:fldCharType="begin" w:fldLock="1"/>
      </w:r>
      <w:r w:rsidR="00560E1E" w:rsidRPr="00686018">
        <w:rPr>
          <w:rFonts w:ascii="Times New Roman" w:hAnsi="Times New Roman" w:cs="Times New Roman"/>
          <w:sz w:val="24"/>
          <w:szCs w:val="24"/>
        </w:rPr>
        <w:instrText>ADDIN CSL_CITATION {"citationItems":[{"id":"ITEM-1","itemData":{"DOI":"10.1016/j.wasman.2007.03.028","ISBN":"0956-053X (Print)","ISSN":"0956053X","PMID":"17544638","abstract":"The applicability of different kinetics to the hydrolysis of particulate organic material in anaerobic digestion is discussed. Hydrolysis has traditionally been modelled according to the first-order kinetics. For complex substrate, the first-order kinetics should be modified in order to take into account hardly degradable material. It has been shown that models in which hydrolysis is coupled to the growth of hydrolytic bacteria work well at high or at fluctuant organic loading. In particular, the surface-related two-phase and the Contois models showed good fits to experimental data from a wide range of organic waste. Both models tend to the first-order kinetics at a high biomass-to-waste ratio and, for this reason, they can be considered as more general models. Examples on different inhibition processes that might affect the degradation of solid waste are reported. Acetogenesis or methanogenesis might be the rate-limiting stages in complex waste. In such cases, stimulation of hydrolysis (mechanically, chemically or biologically) may lead to a further inhibition of these stages, which ultimately affects hydrolysis as well. Since the hydrolysis process is characterized by surface and transport phenomena, new developments in spatially distributed models are considered fundamental to provide new insights in this complex process. © 2007 Elsevier Ltd. All rights reserved.","author":[{"dropping-particle":"","family":"Vavilin","given":"V. A.","non-dropping-particle":"","parse-names":false,"suffix":""},{"dropping-particle":"","family":"Fernandez","given":"B.","non-dropping-particle":"","parse-names":false,"suffix":""},{"dropping-particle":"","family":"Palatsi","given":"J.","non-dropping-particle":"","parse-names":false,"suffix":""},{"dropping-particle":"","family":"Flotats","given":"X.","non-dropping-particle":"","parse-names":false,"suffix":""}],"container-title":"Waste Management","id":"ITEM-1","issue":"6","issued":{"date-parts":[["2008"]]},"page":"939-951","title":"Hydrolysis kinetics in anaerobic degradation of particulate organic material: An overview","type":"article-journal","volume":"28"},"uris":["http://www.mendeley.com/documents/?uuid=01211851-d116-4c06-8e65-fd68894ca098"]}],"mendeley":{"formattedCitation":"(Vavilin et al. 2008)","plainTextFormattedCitation":"(Vavilin et al. 2008)","previouslyFormattedCitation":"(Vavilin et al. 2008)"},"properties":{"noteIndex":0},"schema":"https://github.com/citation-style-language/schema/raw/master/csl-citation.json"}</w:instrText>
      </w:r>
      <w:r w:rsidR="00560E1E" w:rsidRPr="00686018">
        <w:rPr>
          <w:rFonts w:ascii="Times New Roman" w:hAnsi="Times New Roman" w:cs="Times New Roman"/>
          <w:sz w:val="24"/>
          <w:szCs w:val="24"/>
        </w:rPr>
        <w:fldChar w:fldCharType="separate"/>
      </w:r>
      <w:r w:rsidR="00560E1E" w:rsidRPr="00686018">
        <w:rPr>
          <w:rFonts w:ascii="Times New Roman" w:hAnsi="Times New Roman" w:cs="Times New Roman"/>
          <w:noProof/>
          <w:sz w:val="24"/>
          <w:szCs w:val="24"/>
        </w:rPr>
        <w:t xml:space="preserve">(Vavilin </w:t>
      </w:r>
      <w:r w:rsidR="00C80D09">
        <w:rPr>
          <w:rFonts w:ascii="Times New Roman" w:hAnsi="Times New Roman" w:cs="Times New Roman"/>
          <w:noProof/>
          <w:sz w:val="24"/>
          <w:szCs w:val="24"/>
        </w:rPr>
        <w:t>et al.,</w:t>
      </w:r>
      <w:r w:rsidR="00560E1E" w:rsidRPr="00686018">
        <w:rPr>
          <w:rFonts w:ascii="Times New Roman" w:hAnsi="Times New Roman" w:cs="Times New Roman"/>
          <w:noProof/>
          <w:sz w:val="24"/>
          <w:szCs w:val="24"/>
        </w:rPr>
        <w:t xml:space="preserve"> 2008)</w:t>
      </w:r>
      <w:r w:rsidR="00560E1E"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un consorcio microbiano en cada etapa es responsable de la conversión a biogás, estos incluyen diferentes especies de organismos hidrolíticos, acidogénicos y metanogénicos. </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63" w:name="_Toc534817243"/>
      <w:bookmarkStart w:id="64" w:name="_Toc534817426"/>
      <w:bookmarkStart w:id="65" w:name="_Toc534817733"/>
      <w:bookmarkStart w:id="66" w:name="_Toc535410436"/>
      <w:bookmarkStart w:id="67" w:name="_Toc9537783"/>
      <w:r w:rsidRPr="00686018">
        <w:rPr>
          <w:rFonts w:ascii="Times New Roman" w:hAnsi="Times New Roman" w:cs="Times New Roman"/>
          <w:i w:val="0"/>
          <w:u w:val="none"/>
        </w:rPr>
        <w:t>Etapas involucradas en la digestión anaerobia</w:t>
      </w:r>
      <w:bookmarkEnd w:id="63"/>
      <w:bookmarkEnd w:id="64"/>
      <w:bookmarkEnd w:id="65"/>
      <w:bookmarkEnd w:id="66"/>
      <w:bookmarkEnd w:id="67"/>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Generalmente, el proceso de hidrolisis y la acidogénesis tiene una duración corta, y durante este periodo el pH en el digestor se debe mantener en un cierto nivel (tal como 6.5) y luego debería recuperar los niveles favorables (6.6-7.8) para las bacterias </w:t>
      </w:r>
      <w:r w:rsidR="00712A8B" w:rsidRPr="00686018">
        <w:rPr>
          <w:rFonts w:ascii="Times New Roman" w:hAnsi="Times New Roman" w:cs="Times New Roman"/>
          <w:sz w:val="24"/>
        </w:rPr>
        <w:t>metanogénicas</w:t>
      </w:r>
      <w:r w:rsidRPr="00686018">
        <w:rPr>
          <w:rFonts w:ascii="Times New Roman" w:hAnsi="Times New Roman" w:cs="Times New Roman"/>
          <w:sz w:val="24"/>
        </w:rPr>
        <w:t xml:space="preserve">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{"citationItems":[{"id":"ITEM-1","itemData":{"DOI":"10.1016/j.wasman.2017.03.019","ISSN":"18792456","abstract":"Excessive acidification frequently occurs in the anaerobic digestion of the organic fraction of municipal solid waste (OFMSW) at high organic loading rates (OLR), due to the accumulation of non-acetic volatile fatty acids (VFA). In this study, the performance of Fe0in enhancing various VFA production and metabolism was investigated. The butyric acid concentration in a high OLR reactor with Fe0addition decreased from 7200 to 0 mg/L after a short lag phase, and the total VFA (TVFA) concentration also decreased substantially. The corresponding dominant acidogenesis type also changed from butyric type to propionic type fermentation. Furthermore, the CH4yield of the reactor with added Fe0was approximately 595 ml CH4/g VSadded, which was an increase of 41.7% compared with the biochemical methane potential (BMP) test results in controls without added ZVI. A microbial diversity analysis, using high throughput sequencing, showed that Methanofollis and Methanosarcina were dominant in terms of the archaeal structures of the Fe0reactor at the butyric converting stage; however, Methanosaeta was predominant in the reactor during the control BMP test. These results suggested that Fe0can convert non-acetic VFA to acetic VFA and improve the CH4yield by enhancing the activity of methanogens.","author":[{"dropping-particle":"","family":"Kong","given":"Xin","non-dropping-particle":"","parse-names":false,"suffix":""},{"dropping-particle":"","family":"Yu","given":"Shuyao","non-dropping-particle":"","parse-names":false,"suffix":""},{"dropping-particle":"","family":"Xu","given":"Shuang","non-dropping-particle":"","parse-names":false,"suffix":""},{"dropping-particle":"","family":"Fang","given":"Wen","non-dropping-particle":"","parse-names":false,"suffix":""},{"dropping-particle":"","family":"Liu","given":"Jianguo","non-dropping-particle":"","parse-names":false,"suffix":""},{"dropping-particle":"","family":"Li","given":"Huan","non-dropping-particle":"","parse-names":false,"suffix":""}],"container-title":"Waste Management","id":"ITEM-1","issued":{"date-parts":[["2018"]]},"page":"719-727","title":"Effect of Fe0addition on volatile fatty acids evolution on anaerobic digestion at high organic loading rates","type":"article-journal","volume":"71"},"uris":["http://www.mendeley.com/documents/?uuid=5aab8993-906f-4fa6-b8a7-7fe86b5a83fb"]}],"mendeley":{"formattedCitation":"(Kong et al. 2018)","plainTextFormattedCitation":"(Kong et al. 2018)","previouslyFormattedCitation":"(Kong et al. 2018)"},"properties":{"noteIndex":0},"schema":"https://github.com/citation-style-language/schema/raw/master/csl-citation.json"}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(Kong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2018)</w:t>
      </w:r>
      <w:r w:rsidRPr="00686018">
        <w:rPr>
          <w:rFonts w:ascii="Times New Roman" w:hAnsi="Times New Roman" w:cs="Times New Roman"/>
          <w:sz w:val="24"/>
        </w:rPr>
        <w:fldChar w:fldCharType="end"/>
      </w:r>
      <w:r w:rsidRPr="00686018">
        <w:rPr>
          <w:rFonts w:ascii="Times New Roman" w:hAnsi="Times New Roman" w:cs="Times New Roman"/>
          <w:sz w:val="24"/>
        </w:rPr>
        <w:t xml:space="preserve">. Las etapas involucran </w:t>
      </w:r>
      <w:r w:rsidRPr="00686018">
        <w:rPr>
          <w:rFonts w:ascii="Times New Roman" w:hAnsi="Times New Roman" w:cs="Times New Roman"/>
          <w:sz w:val="24"/>
          <w:szCs w:val="24"/>
        </w:rPr>
        <w:t>(</w:t>
      </w:r>
      <w:r w:rsidRPr="00686018">
        <w:rPr>
          <w:rFonts w:ascii="Times New Roman" w:hAnsi="Times New Roman" w:cs="Times New Roman"/>
          <w:b/>
          <w:sz w:val="24"/>
          <w:szCs w:val="24"/>
        </w:rPr>
        <w:t>Figura 1</w:t>
      </w:r>
      <w:r w:rsidRPr="00686018">
        <w:rPr>
          <w:rFonts w:ascii="Times New Roman" w:hAnsi="Times New Roman" w:cs="Times New Roman"/>
          <w:sz w:val="24"/>
          <w:szCs w:val="24"/>
        </w:rPr>
        <w:t>)</w:t>
      </w:r>
      <w:r w:rsidRPr="00686018">
        <w:rPr>
          <w:rFonts w:ascii="Times New Roman" w:hAnsi="Times New Roman" w:cs="Times New Roman"/>
          <w:szCs w:val="24"/>
        </w:rPr>
        <w:t xml:space="preserve"> </w:t>
      </w:r>
      <w:r w:rsidRPr="00686018">
        <w:rPr>
          <w:rFonts w:ascii="Times New Roman" w:hAnsi="Times New Roman" w:cs="Times New Roman"/>
          <w:sz w:val="24"/>
          <w:szCs w:val="24"/>
        </w:rPr>
        <w:t>son</w:t>
      </w:r>
      <w:r w:rsidRPr="00686018">
        <w:rPr>
          <w:rFonts w:ascii="Times New Roman" w:hAnsi="Times New Roman" w:cs="Times New Roman"/>
        </w:rPr>
        <w:t>:</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b/>
          <w:sz w:val="24"/>
          <w:szCs w:val="24"/>
        </w:rPr>
        <w:t>Hidrólisis.</w:t>
      </w:r>
      <w:r w:rsidRPr="00686018">
        <w:rPr>
          <w:rFonts w:ascii="Times New Roman" w:hAnsi="Times New Roman" w:cs="Times New Roman"/>
          <w:sz w:val="24"/>
          <w:szCs w:val="24"/>
        </w:rPr>
        <w:t xml:space="preserve"> En la etapa de hidrolisis, los polisacáridos, lípidos, proteínas y ácidos nucleicos son desdoblados a monosacáridos, ácidos grasos, aminoácidos, purinas y pirimidinas.</w:t>
      </w:r>
    </w:p>
    <w:p w:rsidR="00DF46F4" w:rsidRPr="00686018" w:rsidRDefault="00DF46F4" w:rsidP="00A31608">
      <w:pPr>
        <w:jc w:val="both"/>
        <w:rPr>
          <w:rFonts w:ascii="Times New Roman" w:hAnsi="Times New Roman" w:cs="Times New Roman"/>
          <w:color w:val="FF0000"/>
          <w:sz w:val="24"/>
          <w:szCs w:val="24"/>
        </w:rPr>
      </w:pPr>
      <w:r w:rsidRPr="00686018">
        <w:rPr>
          <w:rFonts w:ascii="Times New Roman" w:hAnsi="Times New Roman" w:cs="Times New Roman"/>
          <w:b/>
          <w:sz w:val="24"/>
          <w:szCs w:val="24"/>
        </w:rPr>
        <w:t>Acidogénesis.</w:t>
      </w:r>
      <w:r w:rsidRPr="00686018">
        <w:rPr>
          <w:rFonts w:ascii="Times New Roman" w:hAnsi="Times New Roman" w:cs="Times New Roman"/>
          <w:sz w:val="24"/>
          <w:szCs w:val="24"/>
        </w:rPr>
        <w:t xml:space="preserve"> En la etapa de acidogénesis, se forman los ácidos grasos volátiles (AGV, incluyendo ácido acético, propiónico, butírico, isobutírico, valérico e isovalérico) así como también hidrogeno, 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xml:space="preserve">, metanol y metilaminas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{"citationItems":[{"id":"ITEM-1","itemData":{"DOI":"10.1016/j.wasman.2017.03.019","ISSN":"18792456","abstract":"Excessive acidification frequently occurs in the anaerobic digestion of the organic fraction of municipal solid waste (OFMSW) at high organic loading rates (OLR), due to the accumulation of non-acetic volatile fatty acids (VFA). In this study, the performance of Fe0in enhancing various VFA production and metabolism was investigated. The butyric acid concentration in a high OLR reactor with Fe0addition decreased from 7200 to 0 mg/L after a short lag phase, and the total VFA (TVFA) concentration also decreased substantially. The corresponding dominant acidogenesis type also changed from butyric type to propionic type fermentation. Furthermore, the CH4yield of the reactor with added Fe0was approximately 595 ml CH4/g VSadded, which was an increase of 41.7% compared with the biochemical methane potential (BMP) test results in controls without added ZVI. A microbial diversity analysis, using high throughput sequencing, showed that Methanofollis and Methanosarcina were dominant in terms of the archaeal structures of the Fe0reactor at the butyric converting stage; however, Methanosaeta was predominant in the reactor during the control BMP test. These results suggested that Fe0can convert non-acetic VFA to acetic VFA and improve the CH4yield by enhancing the activity of methanogens.","author":[{"dropping-particle":"","family":"Kong","given":"Xin","non-dropping-particle":"","parse-names":false,"suffix":""},{"dropping-particle":"","family":"Yu","given":"Shuyao","non-dropping-particle":"","parse-names":false,"suffix":""},{"dropping-particle":"","family":"Xu","given":"Shuang","non-dropping-particle":"","parse-names":false,"suffix":""},{"dropping-particle":"","family":"Fang","given":"Wen","non-dropping-particle":"","parse-names":false,"suffix":""},{"dropping-particle":"","family":"Liu","given":"Jianguo","non-dropping-particle":"","parse-names":false,"suffix":""},{"dropping-particle":"","family":"Li","given":"Huan","non-dropping-particle":"","parse-names":false,"suffix":""}],"container-title":"Waste Management","id":"ITEM-1","issued":{"date-parts":[["2018"]]},"page":"719-727","title":"Effect of Fe0addition on volatile fatty acids evolution on anaerobic digestion at high organic loading rates","type":"article-journal","volume":"71"},"uris":["http://www.mendeley.com/documents/?uuid=5aab8993-906f-4fa6-b8a7-7fe86b5a83fb"]}],"mendeley":{"formattedCitation":"(Kong et al. 2018)","plainTextFormattedCitation":"(Kong et al. 2018)","previouslyFormattedCitation":"(Kong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(Kong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r w:rsidRPr="00686018">
        <w:rPr>
          <w:rFonts w:ascii="Times New Roman" w:hAnsi="Times New Roman" w:cs="Times New Roman"/>
          <w:color w:val="FF0000"/>
          <w:sz w:val="24"/>
          <w:szCs w:val="24"/>
        </w:rPr>
        <w:t>.</w:t>
      </w:r>
    </w:p>
    <w:p w:rsidR="00DF46F4" w:rsidRPr="00686018" w:rsidRDefault="00C91303" w:rsidP="00A31608">
      <w:pPr>
        <w:jc w:val="both"/>
        <w:rPr>
          <w:rFonts w:ascii="Times New Roman" w:hAnsi="Times New Roman" w:cs="Times New Roman"/>
          <w:sz w:val="24"/>
          <w:szCs w:val="24"/>
        </w:rPr>
      </w:pPr>
      <w:r>
        <w:rPr>
          <w:rFonts w:ascii="Times New Roman" w:hAnsi="Times New Roman" w:cs="Times New Roman"/>
          <w:b/>
          <w:sz w:val="24"/>
          <w:szCs w:val="24"/>
        </w:rPr>
        <w:t>Acet</w:t>
      </w:r>
      <w:r w:rsidR="00F15885" w:rsidRPr="00686018">
        <w:rPr>
          <w:rFonts w:ascii="Times New Roman" w:hAnsi="Times New Roman" w:cs="Times New Roman"/>
          <w:b/>
          <w:sz w:val="24"/>
          <w:szCs w:val="24"/>
        </w:rPr>
        <w:t>ogénesis</w:t>
      </w:r>
      <w:r w:rsidR="00DF46F4" w:rsidRPr="00686018">
        <w:rPr>
          <w:rFonts w:ascii="Times New Roman" w:hAnsi="Times New Roman" w:cs="Times New Roman"/>
          <w:sz w:val="24"/>
          <w:szCs w:val="24"/>
        </w:rPr>
        <w:t xml:space="preserve">. En la etapa de </w:t>
      </w:r>
      <w:r>
        <w:rPr>
          <w:rFonts w:ascii="Times New Roman" w:hAnsi="Times New Roman" w:cs="Times New Roman"/>
          <w:sz w:val="24"/>
          <w:szCs w:val="24"/>
        </w:rPr>
        <w:t>a</w:t>
      </w:r>
      <w:r w:rsidRPr="00686018">
        <w:rPr>
          <w:rFonts w:ascii="Times New Roman" w:hAnsi="Times New Roman" w:cs="Times New Roman"/>
          <w:sz w:val="24"/>
          <w:szCs w:val="24"/>
        </w:rPr>
        <w:t>cetogénesis</w:t>
      </w:r>
      <w:r w:rsidR="00DF46F4" w:rsidRPr="00686018">
        <w:rPr>
          <w:rFonts w:ascii="Times New Roman" w:hAnsi="Times New Roman" w:cs="Times New Roman"/>
          <w:sz w:val="24"/>
          <w:szCs w:val="24"/>
        </w:rPr>
        <w:t xml:space="preserve">, un consorcio microbiano sintrófico, convierte los ácidos grasos volátiles (sin contar el ácido acético) en ácido acético, hidrogeno y dióxido de carbono </w:t>
      </w:r>
      <w:r w:rsidR="00DF46F4" w:rsidRPr="00686018">
        <w:rPr>
          <w:rFonts w:ascii="Times New Roman" w:hAnsi="Times New Roman" w:cs="Times New Roman"/>
          <w:sz w:val="24"/>
          <w:szCs w:val="24"/>
        </w:rPr>
        <w:fldChar w:fldCharType="begin" w:fldLock="1"/>
      </w:r>
      <w:r w:rsidR="00DF46F4" w:rsidRPr="00686018">
        <w:rPr>
          <w:rFonts w:ascii="Times New Roman" w:hAnsi="Times New Roman" w:cs="Times New Roman"/>
          <w:sz w:val="24"/>
          <w:szCs w:val="24"/>
        </w:rPr>
        <w:instrText>ADDIN CSL_CITATION {"citationItems":[{"id":"ITEM-1","itemData":{"DOI":"10.1016/j.egypro.2017.03.396","ISSN":"18766102","abstract":"Syngas containing H2, CO, CO2and CH4produced by thermal processes such as gasification or pyrolysis is typically converted to methane via thermochemical methanation. This process is characterized by a high heat demand utilizing a sensitive chemical catalyst at increased pressure conditions. Alternatively, methanogenic archaea could be exploited as a natural catalyst in a biological methanation process with a lower energy demand. However, the mass transfer between the gas phase and the microbial cell is a major challenge for efficient conversion of the syngas components. Therefore, in this work methanogenic archaea from anaerobic digestion residues were successfully immobilized on biochar particles obtained from green waste pyrolysis with two distinct particle sizes (0.25-1 mm and 1-2 mm). After incubation of the inoculated particles with an artificial syngas mixture CH4was formed within the first 24 hours, while H2, CO2and CO simultaneously declined. However, the particle size had no influence on the CH4yield, content and conversion efficiency. According to the maximum theoretical conversion rate of H2with CO2and CO to CH4only about 50% of the syngas components were converted to methane. These results suggest that CO was rather utilized by the methanogens involved for acetate/formate formation than for methanogenesis due to slight inhibition of the latter process by CO present in the syngas. The impact of CO inhibition during biological syngas methanation needs to be further evaluated for a continuous application of the process. However, a proof of concept for this process using inoculated biochar particles could be shown within the study presented here.","author":[{"dropping-particle":"","family":"Schwede","given":"Sebastian","non-dropping-particle":"","parse-names":false,"suffix":""},{"dropping-particle":"","family":"Bruchmann","given":"Florian","non-dropping-particle":"","parse-names":false,"suffix":""},{"dropping-particle":"","family":"Thorin","given":"Eva","non-dropping-particle":"","parse-names":false,"suffix":""},{"dropping-particle":"","family":"Gerber","given":"Mandy","non-dropping-particle":"","parse-names":false,"suffix":""}],"container-title":"Energy Procedia","id":"ITEM-1","issue":"0","issued":{"date-parts":[["2017"]]},"page":"823-829","publisher":"The Author(s)","title":"Biological Syngas Methanation via Immobilized Methanogenic Archaea on Biochar","type":"article-journal","volume":"105"},"uris":["http://www.mendeley.com/documents/?uuid=fa5d96ac-7a8b-4b86-98b0-2202e6286c08"]}],"mendeley":{"formattedCitation":"(Schwede et al. 2017)","plainTextFormattedCitation":"(Schwede et al. 2017)","previouslyFormattedCitation":"(Schwede et al. 2017)"},"properties":{"noteIndex":0},"schema":"https://github.com/citation-style-language/schema/raw/master/csl-citation.json"}</w:instrText>
      </w:r>
      <w:r w:rsidR="00DF46F4" w:rsidRPr="00686018">
        <w:rPr>
          <w:rFonts w:ascii="Times New Roman" w:hAnsi="Times New Roman" w:cs="Times New Roman"/>
          <w:sz w:val="24"/>
          <w:szCs w:val="24"/>
        </w:rPr>
        <w:fldChar w:fldCharType="separate"/>
      </w:r>
      <w:r w:rsidR="00DF46F4" w:rsidRPr="00686018">
        <w:rPr>
          <w:rFonts w:ascii="Times New Roman" w:hAnsi="Times New Roman" w:cs="Times New Roman"/>
          <w:noProof/>
          <w:sz w:val="24"/>
          <w:szCs w:val="24"/>
        </w:rPr>
        <w:t xml:space="preserve">(Schwede </w:t>
      </w:r>
      <w:r w:rsidR="00C80D09">
        <w:rPr>
          <w:rFonts w:ascii="Times New Roman" w:hAnsi="Times New Roman" w:cs="Times New Roman"/>
          <w:noProof/>
          <w:sz w:val="24"/>
          <w:szCs w:val="24"/>
        </w:rPr>
        <w:t>et al.,</w:t>
      </w:r>
      <w:r w:rsidR="00DF46F4" w:rsidRPr="00686018">
        <w:rPr>
          <w:rFonts w:ascii="Times New Roman" w:hAnsi="Times New Roman" w:cs="Times New Roman"/>
          <w:noProof/>
          <w:sz w:val="24"/>
          <w:szCs w:val="24"/>
        </w:rPr>
        <w:t xml:space="preserve"> 2017)</w:t>
      </w:r>
      <w:r w:rsidR="00DF46F4" w:rsidRPr="00686018">
        <w:rPr>
          <w:rFonts w:ascii="Times New Roman" w:hAnsi="Times New Roman" w:cs="Times New Roman"/>
          <w:sz w:val="24"/>
          <w:szCs w:val="24"/>
        </w:rPr>
        <w:fldChar w:fldCharType="end"/>
      </w:r>
      <w:r w:rsidR="00DF46F4" w:rsidRPr="00686018">
        <w:rPr>
          <w:rFonts w:ascii="Times New Roman" w:hAnsi="Times New Roman" w:cs="Times New Roman"/>
          <w:sz w:val="24"/>
          <w:szCs w:val="24"/>
        </w:rPr>
        <w:t>.</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b/>
          <w:sz w:val="24"/>
          <w:szCs w:val="24"/>
        </w:rPr>
        <w:t>Metanogénesis.</w:t>
      </w:r>
      <w:r w:rsidRPr="00686018">
        <w:rPr>
          <w:rFonts w:ascii="Times New Roman" w:hAnsi="Times New Roman" w:cs="Times New Roman"/>
          <w:sz w:val="24"/>
          <w:szCs w:val="24"/>
        </w:rPr>
        <w:t xml:space="preserve"> Por último, el metano es generado por dos grupos de organismos: acetoclasticos metanogénicos e hidrógeno-metanógenos. Los acetoclasticos metanogénicos, convierten el acetato en metano y 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mientras que los hidrógeno-</w:t>
      </w:r>
      <w:r w:rsidRPr="00686018">
        <w:rPr>
          <w:rFonts w:ascii="Times New Roman" w:hAnsi="Times New Roman" w:cs="Times New Roman"/>
          <w:sz w:val="24"/>
          <w:szCs w:val="24"/>
        </w:rPr>
        <w:lastRenderedPageBreak/>
        <w:t>metanógenos son responsables de la producción de metano a partir de 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xml:space="preserve"> e hidrogeno </w:t>
      </w:r>
      <w:r w:rsidR="009450BE">
        <w:rPr>
          <w:rFonts w:ascii="Times New Roman" w:hAnsi="Times New Roman" w:cs="Times New Roman"/>
          <w:sz w:val="24"/>
          <w:szCs w:val="24"/>
        </w:rPr>
        <w:fldChar w:fldCharType="begin" w:fldLock="1"/>
      </w:r>
      <w:r w:rsidR="009450BE">
        <w:rPr>
          <w:rFonts w:ascii="Times New Roman" w:hAnsi="Times New Roman" w:cs="Times New Roman"/>
          <w:sz w:val="24"/>
          <w:szCs w:val="24"/>
        </w:rPr>
        <w:instrText>ADDIN CSL_CITATION {"citationItems":[{"id":"ITEM-1","itemData":{"DOI":"nei-dk-4757.pdf","ISBN":"8791855101","ISSN":"8791855101","abstract":"The demand for online monitoring and control of biogas process is increasing, since better monitoring and control system can improve process stability and enhance process performance for better economy of the biogas plants. A number of parameters in both the liquid and the gas phase have been suggested as process indicators. These include gas production, pH, alkalinity, volatile fatty acids (VFA) and hydrogen. Of these, VFA is the most widely recognised as a direct, relevant measure of stability. The individual, rather than collective VFA concentrations are recognised as providing significantly more information for diagnosis. However, classic on-line measurement is based on filtration, which suffers from fouling, especially in particulate or slurry wastes. In this project, a new online VFA monitoring system has been developed using gas-phase VFA extraction to avoid sample filtration. The liquid sample is pumped into a sampling chamber, acidified, added with salt and heated to extract VFA into the gas phase before analysis by GC-FID. This allows easy application to manure. Sample and analysis time of the system varies from 25-40 min. depending on the washing duration. The sampling frequency is fast enough for the dynamic of a manure digester, which is in the range of several hours. This system has been validated over more than 6 months and had shown good agreement with offline VFA measurement. Response from this sensor was compared with other process parameters such as biogas production, pH and dissolved hydrogen during overload situations in a laboratory-scale digester, to investigate the suitability of each measure as a process indicator. VFA was most reliable for indicating process imbalance, and propionate was most persistent. However, when coupling the online VFA monitoring with a simple control for automatic controlling propionate level in a digester, it was found that propionate decreased so slow that the biogas production fluctuated. Therefore, it is more proper to optimise biogas production, while using propionate (or VFA) as a warning indicator for process imbalance. Moreover, in this project, the investigations of serial CSTR configuration for improving biogas production were also carried out both in lab-scale experiments and by using the ADM1 computer model. It was shown that the serial CSTR configuration with long retention time in the first reactor and short retention time in the second reactor could improve biogas production from manure an…","author":[{"dropping-particle":"","family":"Boe","given":"Kanokwan","non-dropping-particle":"","parse-names":false,"suffix":""}],"container-title":"Environment","id":"ITEM-1","issued":{"date-parts":[["2006"]]},"number-of-pages":"66","title":"Online monitoring and control of the biogas process","type":"book"},"label":"book","uris":["http://www.mendeley.com/documents/?uuid=00a6d2ce-c715-4320-9831-434b50f7647a"]}],"mendeley":{"formattedCitation":"(Boe 2006)","plainTextFormattedCitation":"(Boe 2006)","previouslyFormattedCitation":"(Boe 2006)"},"properties":{"noteIndex":0},"schema":"https://github.com/citation-style-language/schema/raw/master/csl-citation.json"}</w:instrText>
      </w:r>
      <w:r w:rsidR="009450BE">
        <w:rPr>
          <w:rFonts w:ascii="Times New Roman" w:hAnsi="Times New Roman" w:cs="Times New Roman"/>
          <w:sz w:val="24"/>
          <w:szCs w:val="24"/>
        </w:rPr>
        <w:fldChar w:fldCharType="separate"/>
      </w:r>
      <w:r w:rsidR="009450BE" w:rsidRPr="009450BE">
        <w:rPr>
          <w:rFonts w:ascii="Times New Roman" w:hAnsi="Times New Roman" w:cs="Times New Roman"/>
          <w:noProof/>
          <w:sz w:val="24"/>
          <w:szCs w:val="24"/>
        </w:rPr>
        <w:t>(Boe</w:t>
      </w:r>
      <w:r w:rsidR="00C80D09">
        <w:rPr>
          <w:rFonts w:ascii="Times New Roman" w:hAnsi="Times New Roman" w:cs="Times New Roman"/>
          <w:noProof/>
          <w:sz w:val="24"/>
          <w:szCs w:val="24"/>
        </w:rPr>
        <w:t>,</w:t>
      </w:r>
      <w:r w:rsidR="009450BE" w:rsidRPr="009450BE">
        <w:rPr>
          <w:rFonts w:ascii="Times New Roman" w:hAnsi="Times New Roman" w:cs="Times New Roman"/>
          <w:noProof/>
          <w:sz w:val="24"/>
          <w:szCs w:val="24"/>
        </w:rPr>
        <w:t xml:space="preserve"> 2006)</w:t>
      </w:r>
      <w:r w:rsidR="009450BE">
        <w:rPr>
          <w:rFonts w:ascii="Times New Roman" w:hAnsi="Times New Roman" w:cs="Times New Roman"/>
          <w:sz w:val="24"/>
          <w:szCs w:val="24"/>
        </w:rPr>
        <w:fldChar w:fldCharType="end"/>
      </w:r>
      <w:r w:rsidR="009450BE">
        <w:rPr>
          <w:rFonts w:ascii="Times New Roman" w:hAnsi="Times New Roman" w:cs="Times New Roman"/>
          <w:sz w:val="24"/>
          <w:szCs w:val="24"/>
        </w:rPr>
        <w:t>.</w:t>
      </w:r>
    </w:p>
    <w:p w:rsidR="00DF46F4" w:rsidRPr="00686018" w:rsidRDefault="00DF46F4" w:rsidP="00A31608">
      <w:pPr>
        <w:keepNext/>
        <w:jc w:val="both"/>
        <w:rPr>
          <w:rFonts w:ascii="Times New Roman" w:hAnsi="Times New Roman" w:cs="Times New Roman"/>
        </w:rPr>
      </w:pPr>
      <w:r w:rsidRPr="00686018">
        <w:rPr>
          <w:rFonts w:ascii="Times New Roman" w:hAnsi="Times New Roman" w:cs="Times New Roman"/>
          <w:noProof/>
          <w:lang w:eastAsia="es-EC"/>
        </w:rPr>
        <w:drawing>
          <wp:inline distT="0" distB="0" distL="0" distR="0" wp14:anchorId="42C98DF0" wp14:editId="49570F6C">
            <wp:extent cx="4981575" cy="4304979"/>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90563" cy="4312747"/>
                    </a:xfrm>
                    <a:prstGeom prst="rect">
                      <a:avLst/>
                    </a:prstGeom>
                    <a:noFill/>
                  </pic:spPr>
                </pic:pic>
              </a:graphicData>
            </a:graphic>
          </wp:inline>
        </w:drawing>
      </w:r>
    </w:p>
    <w:p w:rsidR="00DF46F4" w:rsidRPr="00686018" w:rsidRDefault="00B639AA" w:rsidP="00A31608">
      <w:pPr>
        <w:pStyle w:val="Descripcin"/>
        <w:jc w:val="center"/>
        <w:rPr>
          <w:rFonts w:ascii="Times New Roman" w:hAnsi="Times New Roman" w:cs="Times New Roman"/>
          <w:i w:val="0"/>
          <w:color w:val="auto"/>
        </w:rPr>
      </w:pPr>
      <w:bookmarkStart w:id="68" w:name="_Toc9537869"/>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Etapas involucradas en la digestión anaerobia.</w:t>
      </w:r>
      <w:bookmarkEnd w:id="68"/>
    </w:p>
    <w:p w:rsidR="00DF46F4" w:rsidRPr="00686018" w:rsidRDefault="00DF46F4" w:rsidP="00A31608">
      <w:pPr>
        <w:pStyle w:val="Descripcin"/>
        <w:jc w:val="center"/>
        <w:rPr>
          <w:rFonts w:ascii="Times New Roman" w:hAnsi="Times New Roman" w:cs="Times New Roman"/>
          <w:i w:val="0"/>
          <w:color w:val="auto"/>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Adaptado de</w:t>
      </w:r>
      <w:r w:rsidR="00560E1E" w:rsidRPr="00686018">
        <w:rPr>
          <w:rFonts w:ascii="Times New Roman" w:hAnsi="Times New Roman" w:cs="Times New Roman"/>
          <w:i w:val="0"/>
          <w:color w:val="auto"/>
          <w:szCs w:val="24"/>
        </w:rPr>
        <w:t xml:space="preserve"> </w:t>
      </w:r>
      <w:r w:rsidR="00560E1E" w:rsidRPr="00686018">
        <w:rPr>
          <w:rFonts w:ascii="Times New Roman" w:hAnsi="Times New Roman" w:cs="Times New Roman"/>
          <w:i w:val="0"/>
          <w:color w:val="auto"/>
          <w:szCs w:val="24"/>
        </w:rPr>
        <w:fldChar w:fldCharType="begin" w:fldLock="1"/>
      </w:r>
      <w:r w:rsidR="00560E1E" w:rsidRPr="00686018">
        <w:rPr>
          <w:rFonts w:ascii="Times New Roman" w:hAnsi="Times New Roman" w:cs="Times New Roman"/>
          <w:i w:val="0"/>
          <w:color w:val="auto"/>
          <w:szCs w:val="24"/>
        </w:rPr>
        <w:instrText>ADDIN CSL_CITATION {"citationItems":[{"id":"ITEM-1","itemData":{"DOI":"10.1016/j.rser.2017.05.137","ISBN":"1364-0321","ISSN":"18790690","abstract":"Anaerobic digestion is a versatile biotechnology for conversion of organic wastes to valuable biogas. Anaerobic digestion of manure is making the most of it, as the process allows simultaneous bio-energy generation, production of nutrient rich soil amendment, reduced emission of greenhouse gases and odor control; it is thus in line with climate friendly farming practices. Despite the enumerated advantages, the potential of manure for biogas production is not fully utilized due to the low and imbalance carbon to nitrogen (C/N) ratio in animal manures. To satisfy the anaerobic digestion requirements and to compensate the carbon deficiency of manure, there should be another carbon-rich substrate to be co-digested with manure to improve its characteristics for anaerobic digestion; lignocellulosic biomass residues seem promising for this purpose. This work presents a review on anaerobic co-digestion of animal manure and lignocellulosic feedstock for biogas production. Several research studies conducted on co-digestion of these organic wastes are described and reviewed. The impact of numerous parameters including temperature, pH, organic loading rate (OLR), hydraulic retention time (HRT), C/N ratio, alkalinity and concentration of volatile fatty acids (VFAs) on the performance and stability of the co-digestion process is extensively discussed. The influence of various pretreatment methods including physical, chemical and biological pretreatments on providing well-prepared substrate for anaerobic co-digestion and thus enhancement of biogas production is discussed. An overview of the most significant factors and intermediates which can inhibit or even cease the process is also presented.","author":[{"dropping-particle":"","family":"Neshat","given":"Soheil A.","non-dropping-particle":"","parse-names":false,"suffix":""},{"dropping-particle":"","family":"Mohammadi","given":"Maedeh","non-dropping-particle":"","parse-names":false,"suffix":""},{"dropping-particle":"","family":"Najafpour","given":"Ghasem D.","non-dropping-particle":"","parse-names":false,"suffix":""},{"dropping-particle":"","family":"Lahijani","given":"Pooya","non-dropping-particle":"","parse-names":false,"suffix":""}],"container-title":"Renewable and Sustainable Energy Reviews","id":"ITEM-1","issue":"July 2016","issued":{"date-parts":[["2017"]]},"page":"308-322","publisher":"Elsevier Ltd","title":"Anaerobic co-digestion of animal manures and lignocellulosic residues as a potent approach for sustainable biogas production","type":"article-journal","volume":"79"},"uris":["http://www.mendeley.com/documents/?uuid=79ec5037-db0a-4c66-a384-cbaaaf810b7b"]}],"mendeley":{"formattedCitation":"(Neshat et al. 2017)","plainTextFormattedCitation":"(Neshat et al. 2017)","previouslyFormattedCitation":"(Neshat et al. 2017)"},"properties":{"noteIndex":0},"schema":"https://github.com/citation-style-language/schema/raw/master/csl-citation.json"}</w:instrText>
      </w:r>
      <w:r w:rsidR="00560E1E" w:rsidRPr="00686018">
        <w:rPr>
          <w:rFonts w:ascii="Times New Roman" w:hAnsi="Times New Roman" w:cs="Times New Roman"/>
          <w:i w:val="0"/>
          <w:color w:val="auto"/>
          <w:szCs w:val="24"/>
        </w:rPr>
        <w:fldChar w:fldCharType="separate"/>
      </w:r>
      <w:r w:rsidR="00560E1E" w:rsidRPr="00686018">
        <w:rPr>
          <w:rFonts w:ascii="Times New Roman" w:hAnsi="Times New Roman" w:cs="Times New Roman"/>
          <w:i w:val="0"/>
          <w:noProof/>
          <w:color w:val="auto"/>
          <w:szCs w:val="24"/>
        </w:rPr>
        <w:t xml:space="preserve">(Neshat </w:t>
      </w:r>
      <w:r w:rsidR="00C80D09">
        <w:rPr>
          <w:rFonts w:ascii="Times New Roman" w:hAnsi="Times New Roman" w:cs="Times New Roman"/>
          <w:i w:val="0"/>
          <w:noProof/>
          <w:color w:val="auto"/>
          <w:szCs w:val="24"/>
        </w:rPr>
        <w:t>et al.,</w:t>
      </w:r>
      <w:r w:rsidR="00560E1E" w:rsidRPr="00686018">
        <w:rPr>
          <w:rFonts w:ascii="Times New Roman" w:hAnsi="Times New Roman" w:cs="Times New Roman"/>
          <w:i w:val="0"/>
          <w:noProof/>
          <w:color w:val="auto"/>
          <w:szCs w:val="24"/>
        </w:rPr>
        <w:t xml:space="preserve"> 2017)</w:t>
      </w:r>
      <w:r w:rsidR="00560E1E" w:rsidRPr="00686018">
        <w:rPr>
          <w:rFonts w:ascii="Times New Roman" w:hAnsi="Times New Roman" w:cs="Times New Roman"/>
          <w:i w:val="0"/>
          <w:color w:val="auto"/>
          <w:szCs w:val="24"/>
        </w:rPr>
        <w:fldChar w:fldCharType="end"/>
      </w:r>
      <w:r w:rsidR="00560E1E" w:rsidRPr="00686018">
        <w:rPr>
          <w:rFonts w:ascii="Times New Roman" w:hAnsi="Times New Roman" w:cs="Times New Roman"/>
          <w:i w:val="0"/>
          <w:color w:val="auto"/>
          <w:szCs w:val="24"/>
        </w:rPr>
        <w:t>.</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69" w:name="_Toc535410437"/>
      <w:bookmarkStart w:id="70" w:name="_Toc9537784"/>
      <w:r w:rsidRPr="00686018">
        <w:rPr>
          <w:rFonts w:ascii="Times New Roman" w:hAnsi="Times New Roman" w:cs="Times New Roman"/>
          <w:i w:val="0"/>
          <w:u w:val="none"/>
        </w:rPr>
        <w:t>Codigestión</w:t>
      </w:r>
      <w:bookmarkEnd w:id="69"/>
      <w:bookmarkEnd w:id="70"/>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La codigestión anaerobia (CoDA) es la DA simultanea de dos o más sustratos, el cual es una opción prometedora para superar las desventajas de la mono-digestión y mejorar la producción de biogás y metano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{"citationItems":[{"id":"ITEM-1","itemData":{"DOI":"10.1016/j.rser.2016.11.184","ISBN":"13640321","ISSN":"18790690","abstract":"Globally, there is increasing awareness that renewable energy and energy efficiency are vital for both creating new economic opportunities and controlling the environmental pollution. AD technology is the biochemical process of biogas production which can change the complex organic materials into a clean and renewable source of energy. AcoD process is a reliable alternative option to resolve the disadvantages of single substrate digestion system related to substrate characteristics and system optimization. This paper reviewed the research progress and challenges of AcoD technology, and the contribution of different techniques in biogas production engineering. As the applicability and demand of the AcoD technology increases, the complexity of the system becomes increased, and the characterization of organic materials becomes volatile which requires advanced methods for investigation. Numerous publications have been noted that ADM1 model and its modified version becomes the most powerful tool to optimize the AcoD process of biogas production, and indicating that the disintegration and hydrolysis steps are the limiting factors of co-digestion process. Biochemical methane potential (BMP) test is promising method to determine the biodegradability and decomposition rate of organic materials. The addition of different environmentally friendly nanoparticles can improve the stability and performance of the AcoD system. The process optimization and improvement of biogas production still seek further investigations. Furthermore, using advanced simulation approaches and characterization methods of organic wastes can accelerate the transformation to industrializations, and realize the significant improvement of biogas production as a renewable source and economically feasible energy in developing countries, like China. Finally, the review reveals, designing and developing a framework, including various aspects to improve the biogas production is essential.","author":[{"dropping-particle":"","family":"Hagos","given":"Kiros","non-dropping-particle":"","parse-names":false,"suffix":""},{"dropping-particle":"","family":"Zong","given":"Jianpeng","non-dropping-particle":"","parse-names":false,"suffix":""},{"dropping-particle":"","family":"Li","given":"Dongxue","non-dropping-particle":"","parse-names":false,"suffix":""},{"dropping-particle":"","family":"Liu","given":"Chang","non-dropping-particle":"","parse-names":false,"suffix":""},{"dropping-particle":"","family":"Lu","given":"Xiaohua","non-dropping-particle":"","parse-names":false,"suffix":""}],"container-title":"Renewable and Sustainable Energy Reviews","id":"ITEM-1","issue":"September","issued":{"date-parts":[["2017"]]},"page":"1485-1496","publisher":"Elsevier","title":"Anaerobic co-digestion process for biogas production: Progress, challenges and perspectives","type":"article-journal","volume":"76"},"uris":["http://www.mendeley.com/documents/?uuid=646c4b7e-0e28-4baa-ad4e-fd5fcccd6f4a"]}],"mendeley":{"formattedCitation":"(Hagos et al. 2017)","plainTextFormattedCitation":"(Hagos et al. 2017)","previouslyFormattedCitation":"(Hagos et al. 2017)"},"properties":{"noteIndex":0},"schema":"https://github.com/citation-style-language/schema/raw/master/csl-citation.json"}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(Hagos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2017)</w:t>
      </w:r>
      <w:r w:rsidRPr="00686018">
        <w:rPr>
          <w:rFonts w:ascii="Times New Roman" w:hAnsi="Times New Roman" w:cs="Times New Roman"/>
          <w:sz w:val="24"/>
        </w:rPr>
        <w:fldChar w:fldCharType="end"/>
      </w:r>
      <w:r w:rsidRPr="00686018">
        <w:rPr>
          <w:rFonts w:ascii="Times New Roman" w:hAnsi="Times New Roman" w:cs="Times New Roman"/>
          <w:sz w:val="24"/>
        </w:rPr>
        <w:t xml:space="preserve">. Durante la codigestión, dos o más materiales orgánicos deben ser correctamente manejados para incrementar la producción de biogás comparándolo a la mono-digestión de estos sustratos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{"citationItems":[{"id":"ITEM-1","itemData":{"DOI":"10.1016/j.rser.2016.11.184","ISBN":"13640321","ISSN":"18790690","abstract":"Globally, there is increasing awareness that renewable energy and energy efficiency are vital for both creating new economic opportunities and controlling the environmental pollution. AD technology is the biochemical process of biogas production which can change the complex organic materials into a clean and renewable source of energy. AcoD process is a reliable alternative option to resolve the disadvantages of single substrate digestion system related to substrate characteristics and system optimization. This paper reviewed the research progress and challenges of AcoD technology, and the contribution of different techniques in biogas production engineering. As the applicability and demand of the AcoD technology increases, the complexity of the system becomes increased, and the characterization of organic materials becomes volatile which requires advanced methods for investigation. Numerous publications have been noted that ADM1 model and its modified version becomes the most powerful tool to optimize the AcoD process of biogas production, and indicating that the disintegration and hydrolysis steps are the limiting factors of co-digestion process. Biochemical methane potential (BMP) test is promising method to determine the biodegradability and decomposition rate of organic materials. The addition of different environmentally friendly nanoparticles can improve the stability and performance of the AcoD system. The process optimization and improvement of biogas production still seek further investigations. Furthermore, using advanced simulation approaches and characterization methods of organic wastes can accelerate the transformation to industrializations, and realize the significant improvement of biogas production as a renewable source and economically feasible energy in developing countries, like China. Finally, the review reveals, designing and developing a framework, including various aspects to improve the biogas production is essential.","author":[{"dropping-particle":"","family":"Hagos","given":"Kiros","non-dropping-particle":"","parse-names":false,"suffix":""},{"dropping-particle":"","family":"Zong","given":"Jianpeng","non-dropping-particle":"","parse-names":false,"suffix":""},{"dropping-particle":"","family":"Li","given":"Dongxue","non-dropping-particle":"","parse-names":false,"suffix":""},{"dropping-particle":"","family":"Liu","given":"Chang","non-dropping-particle":"","parse-names":false,"suffix":""},{"dropping-particle":"","family":"Lu","given":"Xiaohua","non-dropping-particle":"","parse-names":false,"suffix":""}],"container-title":"Renewable and Sustainable Energy Reviews","id":"ITEM-1","issue":"September","issued":{"date-parts":[["2017"]]},"page":"1485-1496","publisher":"Elsevier","title":"Anaerobic co-digestion process for biogas production: Progress, challenges and perspectives","type":"article-journal","volume":"76"},"uris":["http://www.mendeley.com/documents/?uuid=646c4b7e-0e28-4baa-ad4e-fd5fcccd6f4a"]}],"mendeley":{"formattedCitation":"(Hagos et al. 2017)","plainTextFormattedCitation":"(Hagos et al. 2017)","previouslyFormattedCitation":"(Hagos et al. 2017)"},"properties":{"noteIndex":0},"schema":"https://github.com/citation-style-language/schema/raw/master/csl-citation.json"}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(Hagos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2017)</w:t>
      </w:r>
      <w:r w:rsidRPr="00686018">
        <w:rPr>
          <w:rFonts w:ascii="Times New Roman" w:hAnsi="Times New Roman" w:cs="Times New Roman"/>
          <w:sz w:val="24"/>
        </w:rPr>
        <w:fldChar w:fldCharType="end"/>
      </w:r>
      <w:r w:rsidRPr="00686018">
        <w:rPr>
          <w:rFonts w:ascii="Times New Roman" w:hAnsi="Times New Roman" w:cs="Times New Roman"/>
          <w:sz w:val="24"/>
        </w:rPr>
        <w:t xml:space="preserve">. </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71" w:name="_Toc534817735"/>
      <w:bookmarkStart w:id="72" w:name="_Toc535410438"/>
      <w:bookmarkStart w:id="73" w:name="_Toc9537785"/>
      <w:r w:rsidRPr="00686018">
        <w:rPr>
          <w:rFonts w:ascii="Times New Roman" w:hAnsi="Times New Roman" w:cs="Times New Roman"/>
          <w:i w:val="0"/>
        </w:rPr>
        <w:t>Beneficios de la codigestión anaerobia</w:t>
      </w:r>
      <w:bookmarkEnd w:id="71"/>
      <w:bookmarkEnd w:id="72"/>
      <w:bookmarkEnd w:id="73"/>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La codigestión anaerobia puede dar los siguientes benéficos importantes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{"citationItems":[{"id":"ITEM-1","itemData":{"DOI":"10.1016/j.rser.2016.11.184","ISBN":"13640321","ISSN":"18790690","abstract":"Globally, there is increasing awareness that renewable energy and energy efficiency are vital for both creating new economic opportunities and controlling the environmental pollution. AD technology is the biochemical process of biogas production which can change the complex organic materials into a clean and renewable source of energy. AcoD process is a reliable alternative option to resolve the disadvantages of single substrate digestion system related to substrate characteristics and system optimization. This paper reviewed the research progress and challenges of AcoD technology, and the contribution of different techniques in biogas production engineering. As the applicability and demand of the AcoD technology increases, the complexity of the system becomes increased, and the characterization of organic materials becomes volatile which requires advanced methods for investigation. Numerous publications have been noted that ADM1 model and its modified version becomes the most powerful tool to optimize the AcoD process of biogas production, and indicating that the disintegration and hydrolysis steps are the limiting factors of co-digestion process. Biochemical methane potential (BMP) test is promising method to determine the biodegradability and decomposition rate of organic materials. The addition of different environmentally friendly nanoparticles can improve the stability and performance of the AcoD system. The process optimization and improvement of biogas production still seek further investigations. Furthermore, using advanced simulation approaches and characterization methods of organic wastes can accelerate the transformation to industrializations, and realize the significant improvement of biogas production as a renewable source and economically feasible energy in developing countries, like China. Finally, the review reveals, designing and developing a framework, including various aspects to improve the biogas production is essential.","author":[{"dropping-particle":"","family":"Hagos","given":"Kiros","non-dropping-particle":"","parse-names":false,"suffix":""},{"dropping-particle":"","family":"Zong","given":"Jianpeng","non-dropping-particle":"","parse-names":false,"suffix":""},{"dropping-particle":"","family":"Li","given":"Dongxue","non-dropping-particle":"","parse-names":false,"suffix":""},{"dropping-particle":"","family":"Liu","given":"Chang","non-dropping-particle":"","parse-names":false,"suffix":""},{"dropping-particle":"","family":"Lu","given":"Xiaohua","non-dropping-particle":"","parse-names":false,"suffix":""}],"container-title":"Renewable and Sustainable Energy Reviews","id":"ITEM-1","issue":"September","issued":{"date-parts":[["2017"]]},"page":"1485-1496","publisher":"Elsevier","title":"Anaerobic co-digestion process for biogas production: Progress, challenges and perspectives","type":"article-journal","volume":"76"},"uris":["http://www.mendeley.com/documents/?uuid=646c4b7e-0e28-4baa-ad4e-fd5fcccd6f4a"]}],"mendeley":{"formattedCitation":"(Hagos et al. 2017)","plainTextFormattedCitation":"(Hagos et al. 2017)","previouslyFormattedCitation":"(Hagos et al. 2017)"},"properties":{"noteIndex":0},"schema":"https://github.com/citation-style-language/schema/raw/master/csl-citation.json"}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(Hagos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2017)</w:t>
      </w:r>
      <w:r w:rsidRPr="00686018">
        <w:rPr>
          <w:rFonts w:ascii="Times New Roman" w:hAnsi="Times New Roman" w:cs="Times New Roman"/>
          <w:sz w:val="24"/>
        </w:rPr>
        <w:fldChar w:fldCharType="end"/>
      </w:r>
      <w:r w:rsidR="00560E1E" w:rsidRPr="00686018">
        <w:rPr>
          <w:rFonts w:ascii="Times New Roman" w:hAnsi="Times New Roman" w:cs="Times New Roman"/>
          <w:sz w:val="24"/>
        </w:rPr>
        <w:t xml:space="preserve"> y </w:t>
      </w:r>
      <w:r w:rsidR="00560E1E" w:rsidRPr="00686018">
        <w:rPr>
          <w:rFonts w:ascii="Times New Roman" w:hAnsi="Times New Roman" w:cs="Times New Roman"/>
          <w:sz w:val="24"/>
        </w:rPr>
        <w:fldChar w:fldCharType="begin" w:fldLock="1"/>
      </w:r>
      <w:r w:rsidR="00097DD6">
        <w:rPr>
          <w:rFonts w:ascii="Times New Roman" w:hAnsi="Times New Roman" w:cs="Times New Roman"/>
          <w:sz w:val="24"/>
        </w:rPr>
        <w:instrText>ADDIN CSL_CITATION {"citationItems":[{"id":"ITEM-1","itemData":{"DOI":"10.1016/j.wasman.2016.03.046","ISSN":"18792456","abstract":"Anaerobic digestion of commercial food waste is a promising alternative to landfilling commercial food waste. This study characterized 11 types of commercial food wastes and 12 co-digestion blends. Bio-methane potential, biodegradable fraction, and apparent first-order hydrolysis rate coefficients were reported based upon biochemical methane potential (BMP) assays. Food waste bio-methane potentials ranged from 165 to 496 mL CH4/g VS. Substrates high in lipids or readily degradable carbohydrates showed the highest methane production. Average bio-methane potential observed for co-digested substrates was -5% to +20% that of the bio-methane potential of the individual substrates weighted by VS content. Apparent hydrolysis rate coefficients ranged from 0.19 d-1 to 0.65 d-1. Co-digested substrates showed an accelerated apparent hydrolysis rate relative to the weighted average of individual substrate rates. These results provide a database of key bio-digestion parameters to advance modeling and utilization of commercial food waste in anaerobic digestion.","author":[{"dropping-particle":"","family":"Ebner","given":"Jacqueline H.","non-dropping-particle":"","parse-names":false,"suffix":""},{"dropping-particle":"","family":"Labatut","given":"Rodrigo A.","non-dropping-particle":"","parse-names":false,"suffix":""},{"dropping-particle":"","family":"Lodge","given":"Jeffrey S.","non-dropping-particle":"","parse-names":false,"suffix":""},{"dropping-particle":"","family":"Williamson","given":"Anahita A.","non-dropping-particle":"","parse-names":false,"suffix":""},{"dropping-particle":"","family":"Trabold","given":"Thomas A.","non-dropping-particle":"","parse-names":false,"suffix":""}],"container-title":"Waste Management","id":"ITEM-1","issued":{"date-parts":[["2016"]]},"page":"286-294","publisher":"Elsevier Ltd","title":"Anaerobic co-digestion of commercial food waste and dairy manure: Characterizing biochemical parameters and synergistic effects","type":"article-journal","volume":"52"},"uris":["http://www.mendeley.com/documents/?uuid=3dc33751-1a48-4c07-aaad-97e87fe51705"]}],"mendeley":{"formattedCitation":"(Ebner et al. 2016)","plainTextFormattedCitation":"(Ebner et al. 2016)","previouslyFormattedCitation":"(Ebner et al. 2016)"},"properties":{"noteIndex":0},"schema":"https://github.com/citation-style-language/schema/raw/master/csl-citation.json"}</w:instrText>
      </w:r>
      <w:r w:rsidR="00560E1E" w:rsidRPr="00686018">
        <w:rPr>
          <w:rFonts w:ascii="Times New Roman" w:hAnsi="Times New Roman" w:cs="Times New Roman"/>
          <w:sz w:val="24"/>
        </w:rPr>
        <w:fldChar w:fldCharType="separate"/>
      </w:r>
      <w:r w:rsidR="00560E1E" w:rsidRPr="00686018">
        <w:rPr>
          <w:rFonts w:ascii="Times New Roman" w:hAnsi="Times New Roman" w:cs="Times New Roman"/>
          <w:noProof/>
          <w:sz w:val="24"/>
        </w:rPr>
        <w:t xml:space="preserve">(Ebner </w:t>
      </w:r>
      <w:r w:rsidR="00C80D09">
        <w:rPr>
          <w:rFonts w:ascii="Times New Roman" w:hAnsi="Times New Roman" w:cs="Times New Roman"/>
          <w:noProof/>
          <w:sz w:val="24"/>
        </w:rPr>
        <w:t>et al.,</w:t>
      </w:r>
      <w:r w:rsidR="00560E1E" w:rsidRPr="00686018">
        <w:rPr>
          <w:rFonts w:ascii="Times New Roman" w:hAnsi="Times New Roman" w:cs="Times New Roman"/>
          <w:noProof/>
          <w:sz w:val="24"/>
        </w:rPr>
        <w:t xml:space="preserve"> 2016)</w:t>
      </w:r>
      <w:r w:rsidR="00560E1E" w:rsidRPr="00686018">
        <w:rPr>
          <w:rFonts w:ascii="Times New Roman" w:hAnsi="Times New Roman" w:cs="Times New Roman"/>
          <w:sz w:val="24"/>
        </w:rPr>
        <w:fldChar w:fldCharType="end"/>
      </w:r>
      <w:r w:rsidRPr="00686018">
        <w:rPr>
          <w:rFonts w:ascii="Times New Roman" w:hAnsi="Times New Roman" w:cs="Times New Roman"/>
          <w:sz w:val="24"/>
        </w:rPr>
        <w:t>:</w:t>
      </w:r>
    </w:p>
    <w:p w:rsidR="00DF46F4" w:rsidRPr="00686018" w:rsidRDefault="00DF46F4" w:rsidP="00A31608">
      <w:pPr>
        <w:pStyle w:val="Prrafodelista"/>
        <w:numPr>
          <w:ilvl w:val="0"/>
          <w:numId w:val="30"/>
        </w:numPr>
        <w:jc w:val="both"/>
        <w:rPr>
          <w:rFonts w:ascii="Times New Roman" w:hAnsi="Times New Roman" w:cs="Times New Roman"/>
          <w:sz w:val="24"/>
        </w:rPr>
      </w:pPr>
      <w:r w:rsidRPr="00686018">
        <w:rPr>
          <w:rFonts w:ascii="Times New Roman" w:hAnsi="Times New Roman" w:cs="Times New Roman"/>
          <w:sz w:val="24"/>
        </w:rPr>
        <w:t>Mejora la estabilidad del proceso.</w:t>
      </w:r>
    </w:p>
    <w:p w:rsidR="00DF46F4" w:rsidRPr="00686018" w:rsidRDefault="00DF46F4" w:rsidP="00A31608">
      <w:pPr>
        <w:pStyle w:val="Prrafodelista"/>
        <w:numPr>
          <w:ilvl w:val="0"/>
          <w:numId w:val="30"/>
        </w:numPr>
        <w:jc w:val="both"/>
        <w:rPr>
          <w:rFonts w:ascii="Times New Roman" w:hAnsi="Times New Roman" w:cs="Times New Roman"/>
          <w:sz w:val="24"/>
        </w:rPr>
      </w:pPr>
      <w:r w:rsidRPr="00686018">
        <w:rPr>
          <w:rFonts w:ascii="Times New Roman" w:hAnsi="Times New Roman" w:cs="Times New Roman"/>
          <w:sz w:val="24"/>
        </w:rPr>
        <w:lastRenderedPageBreak/>
        <w:t>Ayuda a diluir sustancias inhibidoras.</w:t>
      </w:r>
    </w:p>
    <w:p w:rsidR="00DF46F4" w:rsidRPr="00686018" w:rsidRDefault="00DF46F4" w:rsidP="00A31608">
      <w:pPr>
        <w:pStyle w:val="Prrafodelista"/>
        <w:numPr>
          <w:ilvl w:val="0"/>
          <w:numId w:val="30"/>
        </w:numPr>
        <w:jc w:val="both"/>
        <w:rPr>
          <w:rFonts w:ascii="Times New Roman" w:hAnsi="Times New Roman" w:cs="Times New Roman"/>
          <w:sz w:val="24"/>
        </w:rPr>
      </w:pPr>
      <w:r w:rsidRPr="00686018">
        <w:rPr>
          <w:rFonts w:ascii="Times New Roman" w:hAnsi="Times New Roman" w:cs="Times New Roman"/>
          <w:sz w:val="24"/>
        </w:rPr>
        <w:t>Favorece un balance nutricional.</w:t>
      </w:r>
    </w:p>
    <w:p w:rsidR="00DF46F4" w:rsidRPr="00686018" w:rsidRDefault="00DF46F4" w:rsidP="00A31608">
      <w:pPr>
        <w:pStyle w:val="Prrafodelista"/>
        <w:numPr>
          <w:ilvl w:val="0"/>
          <w:numId w:val="30"/>
        </w:numPr>
        <w:jc w:val="both"/>
        <w:rPr>
          <w:rFonts w:ascii="Times New Roman" w:hAnsi="Times New Roman" w:cs="Times New Roman"/>
          <w:sz w:val="24"/>
        </w:rPr>
      </w:pPr>
      <w:r w:rsidRPr="00686018">
        <w:rPr>
          <w:rFonts w:ascii="Times New Roman" w:hAnsi="Times New Roman" w:cs="Times New Roman"/>
          <w:sz w:val="24"/>
        </w:rPr>
        <w:t>Disminución del riesgo de la inhibición por amoniaco</w:t>
      </w:r>
    </w:p>
    <w:p w:rsidR="00DF46F4" w:rsidRPr="00686018" w:rsidRDefault="00DF46F4" w:rsidP="00A31608">
      <w:pPr>
        <w:pStyle w:val="Prrafodelista"/>
        <w:numPr>
          <w:ilvl w:val="0"/>
          <w:numId w:val="30"/>
        </w:numPr>
        <w:jc w:val="both"/>
        <w:rPr>
          <w:rFonts w:ascii="Times New Roman" w:hAnsi="Times New Roman" w:cs="Times New Roman"/>
          <w:sz w:val="24"/>
        </w:rPr>
      </w:pPr>
      <w:r w:rsidRPr="00686018">
        <w:rPr>
          <w:rFonts w:ascii="Times New Roman" w:hAnsi="Times New Roman" w:cs="Times New Roman"/>
          <w:sz w:val="24"/>
        </w:rPr>
        <w:t>Reduce las emisiones de gases de efecto invernadero a la atmosfera.</w:t>
      </w:r>
    </w:p>
    <w:p w:rsidR="00DF46F4" w:rsidRPr="00686018" w:rsidRDefault="00DF46F4" w:rsidP="00A31608">
      <w:pPr>
        <w:pStyle w:val="Prrafodelista"/>
        <w:numPr>
          <w:ilvl w:val="0"/>
          <w:numId w:val="30"/>
        </w:numPr>
        <w:jc w:val="both"/>
        <w:rPr>
          <w:rFonts w:ascii="Times New Roman" w:hAnsi="Times New Roman" w:cs="Times New Roman"/>
          <w:sz w:val="24"/>
        </w:rPr>
      </w:pPr>
      <w:r w:rsidRPr="00686018">
        <w:rPr>
          <w:rFonts w:ascii="Times New Roman" w:hAnsi="Times New Roman" w:cs="Times New Roman"/>
          <w:sz w:val="24"/>
        </w:rPr>
        <w:t>Favorece un efecto sinérgico de los microorganismos.</w:t>
      </w:r>
    </w:p>
    <w:p w:rsidR="00DF46F4" w:rsidRPr="00686018" w:rsidRDefault="00DF46F4" w:rsidP="00A31608">
      <w:pPr>
        <w:pStyle w:val="Prrafodelista"/>
        <w:numPr>
          <w:ilvl w:val="0"/>
          <w:numId w:val="30"/>
        </w:numPr>
        <w:jc w:val="both"/>
        <w:rPr>
          <w:rFonts w:ascii="Times New Roman" w:hAnsi="Times New Roman" w:cs="Times New Roman"/>
          <w:sz w:val="24"/>
        </w:rPr>
      </w:pPr>
      <w:r w:rsidRPr="00686018">
        <w:rPr>
          <w:rFonts w:ascii="Times New Roman" w:hAnsi="Times New Roman" w:cs="Times New Roman"/>
          <w:sz w:val="24"/>
        </w:rPr>
        <w:t>Incrementa la carga de materia orgánica biodegradable.</w:t>
      </w:r>
    </w:p>
    <w:p w:rsidR="00DF46F4" w:rsidRPr="00686018" w:rsidRDefault="00DF46F4" w:rsidP="00A31608">
      <w:pPr>
        <w:pStyle w:val="Prrafodelista"/>
        <w:numPr>
          <w:ilvl w:val="0"/>
          <w:numId w:val="30"/>
        </w:numPr>
        <w:jc w:val="both"/>
        <w:rPr>
          <w:rFonts w:ascii="Times New Roman" w:hAnsi="Times New Roman" w:cs="Times New Roman"/>
          <w:sz w:val="24"/>
        </w:rPr>
      </w:pPr>
      <w:r w:rsidRPr="00686018">
        <w:rPr>
          <w:rFonts w:ascii="Times New Roman" w:hAnsi="Times New Roman" w:cs="Times New Roman"/>
          <w:sz w:val="24"/>
        </w:rPr>
        <w:t>Mejora la producción de bio</w:t>
      </w:r>
      <w:r w:rsidR="00C91303">
        <w:rPr>
          <w:rFonts w:ascii="Times New Roman" w:hAnsi="Times New Roman" w:cs="Times New Roman"/>
          <w:sz w:val="24"/>
        </w:rPr>
        <w:t>gás y metano desde 25% hasta 40</w:t>
      </w:r>
      <w:r w:rsidRPr="00686018">
        <w:rPr>
          <w:rFonts w:ascii="Times New Roman" w:hAnsi="Times New Roman" w:cs="Times New Roman"/>
          <w:sz w:val="24"/>
        </w:rPr>
        <w:t>%.</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El rastrojo de maíz que es el residuo después de la cosecha de maíz es un sustrato potencial para la digestión anaeróbica con estiércol. </w:t>
      </w:r>
      <w:r w:rsidR="009450BE">
        <w:rPr>
          <w:rFonts w:ascii="Times New Roman" w:hAnsi="Times New Roman" w:cs="Times New Roman"/>
          <w:sz w:val="24"/>
          <w:szCs w:val="24"/>
        </w:rPr>
        <w:fldChar w:fldCharType="begin" w:fldLock="1"/>
      </w:r>
      <w:r w:rsidR="009450BE">
        <w:rPr>
          <w:rFonts w:ascii="Times New Roman" w:hAnsi="Times New Roman" w:cs="Times New Roman"/>
          <w:sz w:val="24"/>
          <w:szCs w:val="24"/>
        </w:rPr>
        <w:instrText>ADDIN CSL_CITATION {"citationItems":[{"id":"ITEM-1","itemData":{"DOI":"10.1021/ef900384p","ISSN":"08870624","abstract":"Anaerobic co-digestion of cattle manure with NaOH-treated corn stover for biogas production was investigated. Four cattle manure to corn stover ratios (CM/CS) of 1:1, 1:2, 1:3, and 1:4, and three feeding concentrations (FC) of 50,65, and 80 g L -1  were used. The results showed that the co-digestion with CM/CS ratio of 1:3 obtained the highest total biogas production of 20.5 L, methane yield of 194 mL CH 4  g -1  VS, and TS and VS reductions of 45.0% and 53.0% at the FC of 65 g L -1 . Therefore, the FC of 65 g L -1  and CM/CS ratio of 1:3 was selected as the optimal one. Compared to the single digestion, 4.9-7.4% more biogas productions were obtained at the same FC of 65 g L -1  due to the synergistic effect. The synergistic effect is mainly attributed to more balanced nutrients and increased buffering capacity. It indicated that co-digestion of cattle manure with NaOH-treated corn stover could be one of the options for efficient biogas production and waste treatment. © 2009 American Chemical Society.","author":[{"dropping-particle":"","family":"Li","given":"Xiujin","non-dropping-particle":"","parse-names":false,"suffix":""},{"dropping-particle":"","family":"Li","given":"Laiqing","non-dropping-particle":"","parse-names":false,"suffix":""},{"dropping-particle":"","family":"Zheng","given":"Mingxia","non-dropping-particle":"","parse-names":false,"suffix":""},{"dropping-particle":"","family":"Fu","given":"Guozhi","non-dropping-particle":"","parse-names":false,"suffix":""},{"dropping-particle":"","family":"Lar","given":"Jam Saifullah","non-dropping-particle":"","parse-names":false,"suffix":""}],"container-title":"Energy and Fuels","id":"ITEM-1","issue":"9","issued":{"date-parts":[["2009"]]},"page":"4635-4639","title":"Anaerobic co-digestion of cattle manure with corn stover pretreated by sodium hydroxide for efficient biogas production","type":"article-journal","volume":"23"},"uris":["http://www.mendeley.com/documents/?uuid=475e6b99-3a47-430b-9464-3e0ed45a0d97"]}],"mendeley":{"formattedCitation":"(Li et al. 2009)","plainTextFormattedCitation":"(Li et al. 2009)","previouslyFormattedCitation":"(Li et al. 2009)"},"properties":{"noteIndex":0},"schema":"https://github.com/citation-style-language/schema/raw/master/csl-citation.json"}</w:instrText>
      </w:r>
      <w:r w:rsidR="009450BE">
        <w:rPr>
          <w:rFonts w:ascii="Times New Roman" w:hAnsi="Times New Roman" w:cs="Times New Roman"/>
          <w:sz w:val="24"/>
          <w:szCs w:val="24"/>
        </w:rPr>
        <w:fldChar w:fldCharType="separate"/>
      </w:r>
      <w:r w:rsidR="009450BE" w:rsidRPr="009450BE">
        <w:rPr>
          <w:rFonts w:ascii="Times New Roman" w:hAnsi="Times New Roman" w:cs="Times New Roman"/>
          <w:noProof/>
          <w:sz w:val="24"/>
          <w:szCs w:val="24"/>
        </w:rPr>
        <w:t xml:space="preserve">(Li </w:t>
      </w:r>
      <w:r w:rsidR="00C80D09">
        <w:rPr>
          <w:rFonts w:ascii="Times New Roman" w:hAnsi="Times New Roman" w:cs="Times New Roman"/>
          <w:noProof/>
          <w:sz w:val="24"/>
          <w:szCs w:val="24"/>
        </w:rPr>
        <w:t>et al.,</w:t>
      </w:r>
      <w:r w:rsidR="009450BE" w:rsidRPr="009450BE">
        <w:rPr>
          <w:rFonts w:ascii="Times New Roman" w:hAnsi="Times New Roman" w:cs="Times New Roman"/>
          <w:noProof/>
          <w:sz w:val="24"/>
          <w:szCs w:val="24"/>
        </w:rPr>
        <w:t xml:space="preserve"> 2009)</w:t>
      </w:r>
      <w:r w:rsidR="009450BE">
        <w:rPr>
          <w:rFonts w:ascii="Times New Roman" w:hAnsi="Times New Roman" w:cs="Times New Roman"/>
          <w:sz w:val="24"/>
          <w:szCs w:val="24"/>
        </w:rPr>
        <w:fldChar w:fldCharType="end"/>
      </w:r>
      <w:r w:rsidR="009450BE">
        <w:rPr>
          <w:rFonts w:ascii="Times New Roman" w:hAnsi="Times New Roman" w:cs="Times New Roman"/>
          <w:sz w:val="24"/>
          <w:szCs w:val="24"/>
        </w:rPr>
        <w:t xml:space="preserve"> </w:t>
      </w:r>
      <w:r w:rsidR="00F776E5" w:rsidRPr="00686018">
        <w:rPr>
          <w:rFonts w:ascii="Times New Roman" w:hAnsi="Times New Roman" w:cs="Times New Roman"/>
          <w:sz w:val="24"/>
          <w:szCs w:val="24"/>
        </w:rPr>
        <w:t>llevó</w:t>
      </w:r>
      <w:r w:rsidRPr="00686018">
        <w:rPr>
          <w:rFonts w:ascii="Times New Roman" w:hAnsi="Times New Roman" w:cs="Times New Roman"/>
          <w:sz w:val="24"/>
          <w:szCs w:val="24"/>
        </w:rPr>
        <w:t xml:space="preserve"> a cabo una investigación al respecto; sus hallazgos confirmaron que la codigestión de estiércol de ganado y el rastrojo de maíz mejoraron la producción de biogás (aumento 4.9 a 7.4% en el contenido de metano) y proporciono una condición más estable debido al efecto sinérgico de codigestión en comparación con la digestión de rastrojo de maíz como el único sustrato.</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La acumulación de ácidos grasos de cadena corta puede descender el pH por debajo del nivel óptimo y reducir la producción de metano; sin embargo, en el proceso de codigestión, la alta capacidad de amortiguación del estiércol puede de alguna manera proteger el proceso. Un estudio realizado por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{"citationItems":[{"id":"ITEM-1","itemData":{"DOI":"10.1021/ef402562z","ISBN":"0887-0624","ISSN":"15205029","abstract":"Biogas yield from anaerobic digestion of cotton stalk (CS) at feed to inoculum (F/I) ratios of 2–4 reached 175–180 mL/(g of VSadded) against 113 mL/(g of VSadded) observed at the F/I ratio of 6. CS was proven to be a promising co-substrate in the digestion of swine manure (SM), and a CS/SM ratio of 50:50 with a C/N ratio of 25 was found to be the best in terms of the biogas production rate and yield with increases up to 1.8- and 1.9-fold, respectively, as compared to the control. The highest biogas yield (449 mL/(g of VSadded)) and production rate (0.65 L/(L·day)) with comparable technical digestion time were obtained in co-digestion of SM with CS pretreated by NaOH, which was 241–255% of those achieved in the control. This study indicates that co-digestion of SM with alkali-pretreated CS is a potential option for alleviating the insufficient substrate resource problems and improving the energy output.","author":[{"dropping-particle":"","family":"Cheng","given":"Xi Yu","non-dropping-particle":"","parse-names":false,"suffix":""},{"dropping-particle":"","family":"Zhong","given":"Cheng","non-dropping-particle":"","parse-names":false,"suffix":""}],"container-title":"Energy and Fuels","id":"ITEM-1","issue":"5","issued":{"date-parts":[["2014"]]},"page":"3157-3166","title":"Effects of feed to inoculum ratio, co-digestion, and pretreatment on biogas production from anaerobic digestion of cotton stalk","type":"article-journal","volume":"28"},"uris":["http://www.mendeley.com/documents/?uuid=b605724e-2e9d-4df1-b298-d25e51071db7"]}],"mendeley":{"formattedCitation":"(Cheng y Zhong 2014)","plainTextFormattedCitation":"(Cheng y Zhong 2014)","previouslyFormattedCitation":"(Cheng y Zhong 2014)"},"properties":{"noteIndex":0},"schema":"https://github.com/citation-style-language/schema/raw/master/csl-citation.json"}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(Cheng y Zhong</w:t>
      </w:r>
      <w:r w:rsidR="00C80D09">
        <w:rPr>
          <w:rFonts w:ascii="Times New Roman" w:hAnsi="Times New Roman" w:cs="Times New Roman"/>
          <w:noProof/>
          <w:sz w:val="24"/>
          <w:szCs w:val="24"/>
        </w:rPr>
        <w:t>,</w:t>
      </w:r>
      <w:r w:rsidRPr="00686018">
        <w:rPr>
          <w:rFonts w:ascii="Times New Roman" w:hAnsi="Times New Roman" w:cs="Times New Roman"/>
          <w:noProof/>
          <w:sz w:val="24"/>
          <w:szCs w:val="24"/>
        </w:rPr>
        <w:t xml:space="preserve"> 2014)</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se determinó que el pH óptimo para la digestión anaeróbica del tallo de algodón y el estiércol del ganado, como único sustrato o co-sustrato, era 6.5. Esperaban niveles de pH más bajos en la codigestión en donde la concentración de AGV era mucho más alta que la mono digestión; sin embargo, debido a la capacidad de almacenamiento del estiércol, el nivel de pH no cambió significativamente.</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74" w:name="_Toc9537786"/>
      <w:r w:rsidRPr="00686018">
        <w:rPr>
          <w:rFonts w:ascii="Times New Roman" w:hAnsi="Times New Roman" w:cs="Times New Roman"/>
          <w:i w:val="0"/>
          <w:u w:val="none"/>
        </w:rPr>
        <w:t>Parámetros del proceso de digestión anaerobia</w:t>
      </w:r>
      <w:bookmarkEnd w:id="74"/>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75" w:name="_Toc535410447"/>
      <w:bookmarkStart w:id="76" w:name="_Toc9537787"/>
      <w:r w:rsidRPr="00686018">
        <w:rPr>
          <w:rFonts w:ascii="Times New Roman" w:hAnsi="Times New Roman" w:cs="Times New Roman"/>
          <w:i w:val="0"/>
        </w:rPr>
        <w:t>Temperatura</w:t>
      </w:r>
      <w:bookmarkEnd w:id="75"/>
      <w:bookmarkEnd w:id="76"/>
      <w:r w:rsidRPr="00686018">
        <w:rPr>
          <w:rFonts w:ascii="Times New Roman" w:hAnsi="Times New Roman" w:cs="Times New Roman"/>
          <w:i w:val="0"/>
        </w:rPr>
        <w:t xml:space="preserve"> </w:t>
      </w:r>
    </w:p>
    <w:p w:rsidR="00DF46F4" w:rsidRPr="00686018" w:rsidRDefault="00DF46F4" w:rsidP="00A31608">
      <w:pPr>
        <w:jc w:val="both"/>
        <w:rPr>
          <w:rFonts w:ascii="Times New Roman" w:hAnsi="Times New Roman" w:cs="Times New Roman"/>
          <w:color w:val="000000" w:themeColor="text1"/>
          <w:sz w:val="24"/>
          <w:szCs w:val="24"/>
        </w:rPr>
      </w:pPr>
      <w:r w:rsidRPr="00686018">
        <w:rPr>
          <w:rFonts w:ascii="Times New Roman" w:hAnsi="Times New Roman" w:cs="Times New Roman"/>
          <w:sz w:val="24"/>
          <w:szCs w:val="24"/>
        </w:rPr>
        <w:t xml:space="preserve">La temperatura es uno de los parámetros más influyentes que afectan el rendimiento y la estabilidad de la digestión anaeróbica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{"citationItems":[{"id":"ITEM-1","itemData":{"DOI":"10.1016/j.rser.2017.05.137","ISBN":"1364-0321","ISSN":"18790690","abstract":"Anaerobic digestion is a versatile biotechnology for conversion of organic wastes to valuable biogas. Anaerobic digestion of manure is making the most of it, as the process allows simultaneous bio-energy generation, production of nutrient rich soil amendment, reduced emission of greenhouse gases and odor control; it is thus in line with climate friendly farming practices. Despite the enumerated advantages, the potential of manure for biogas production is not fully utilized due to the low and imbalance carbon to nitrogen (C/N) ratio in animal manures. To satisfy the anaerobic digestion requirements and to compensate the carbon deficiency of manure, there should be another carbon-rich substrate to be co-digested with manure to improve its characteristics for anaerobic digestion; lignocellulosic biomass residues seem promising for this purpose. This work presents a review on anaerobic co-digestion of animal manure and lignocellulosic feedstock for biogas production. Several research studies conducted on co-digestion of these organic wastes are described and reviewed. The impact of numerous parameters including temperature, pH, organic loading rate (OLR), hydraulic retention time (HRT), C/N ratio, alkalinity and concentration of volatile fatty acids (VFAs) on the performance and stability of the co-digestion process is extensively discussed. The influence of various pretreatment methods including physical, chemical and biological pretreatments on providing well-prepared substrate for anaerobic co-digestion and thus enhancement of biogas production is discussed. An overview of the most significant factors and intermediates which can inhibit or even cease the process is also presented.","author":[{"dropping-particle":"","family":"Neshat","given":"Soheil A.","non-dropping-particle":"","parse-names":false,"suffix":""},{"dropping-particle":"","family":"Mohammadi","given":"Maedeh","non-dropping-particle":"","parse-names":false,"suffix":""},{"dropping-particle":"","family":"Najafpour","given":"Ghasem D.","non-dropping-particle":"","parse-names":false,"suffix":""},{"dropping-particle":"","family":"Lahijani","given":"Pooya","non-dropping-particle":"","parse-names":false,"suffix":""}],"container-title":"Renewable and Sustainable Energy Reviews","id":"ITEM-1","issue":"July 2016","issued":{"date-parts":[["2017"]]},"page":"308-322","publisher":"Elsevier Ltd","title":"Anaerobic co-digestion of animal manures and lignocellulosic residues as a potent approach for sustainable biogas production","type":"article-journal","volume":"79"},"uris":["http://www.mendeley.com/documents/?uuid=79ec5037-db0a-4c66-a384-cbaaaf810b7b"]}],"mendeley":{"formattedCitation":"(Neshat et al. 2017)","plainTextFormattedCitation":"(Neshat et al. 2017)","previouslyFormattedCitation":"(Neshat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(Neshat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t xml:space="preserve">La digestión anaerobia es aplicada bajo tres diferentes rangos de temperatura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10.1007/s11157-004-2502-3","author":[{"dropping-particle":"","family":"Sciencebio","given":"Reviewsenvironmental","non-dropping-particle":"","parse-names":false,"suffix":""}],"id":"ITEM-1","issue":"February","issued":{"date-parts":[["2016"]]},"page":"117-129","title":"Assessment of the anaerobic biodegradability of macropollutants . Rev Environ Sci Bio / Tech","type":"article-journal"},"uris":["http://www.mendeley.com/documents/?uuid=4f1454ee-fc12-4b5c-92ef-f4c36cc3f15c"]}],"mendeley":{"formattedCitation":"(Sciencebio 2016)","plainTextFormattedCitation":"(Sciencebio 2016)","previouslyFormattedCitation":"(Sciencebio 2016)"},"properties":{"noteIndex":0},"schema":"https://github.com/citation-style-language/schema/raw/master/csl-citation.json"}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(Sciencebio</w:t>
      </w:r>
      <w:r w:rsidR="00C80D09">
        <w:rPr>
          <w:rFonts w:ascii="Times New Roman" w:hAnsi="Times New Roman" w:cs="Times New Roman"/>
          <w:noProof/>
          <w:sz w:val="24"/>
          <w:szCs w:val="24"/>
        </w:rPr>
        <w:t>,</w:t>
      </w:r>
      <w:r w:rsidRPr="00686018">
        <w:rPr>
          <w:rFonts w:ascii="Times New Roman" w:hAnsi="Times New Roman" w:cs="Times New Roman"/>
          <w:noProof/>
          <w:sz w:val="24"/>
          <w:szCs w:val="24"/>
        </w:rPr>
        <w:t xml:space="preserve"> 2016)</w:t>
      </w:r>
      <w:r w:rsidRPr="00686018">
        <w:rPr>
          <w:rFonts w:ascii="Times New Roman" w:hAnsi="Times New Roman" w:cs="Times New Roman"/>
          <w:sz w:val="24"/>
          <w:szCs w:val="24"/>
        </w:rPr>
        <w:fldChar w:fldCharType="end"/>
      </w:r>
      <w:r w:rsidRPr="00686018">
        <w:rPr>
          <w:rFonts w:ascii="Times New Roman" w:hAnsi="Times New Roman" w:cs="Times New Roman"/>
          <w:color w:val="000000" w:themeColor="text1"/>
          <w:sz w:val="24"/>
          <w:szCs w:val="24"/>
        </w:rPr>
        <w:t>:</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Condiciones psicrofílica (&lt;15°C).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Condición mesofílica</w:t>
      </w:r>
      <w:r w:rsidRPr="00686018">
        <w:rPr>
          <w:rFonts w:ascii="Times New Roman" w:hAnsi="Times New Roman" w:cs="Times New Roman"/>
        </w:rPr>
        <w:t xml:space="preserve"> </w:t>
      </w:r>
      <w:r w:rsidRPr="00686018">
        <w:rPr>
          <w:rFonts w:ascii="Times New Roman" w:hAnsi="Times New Roman" w:cs="Times New Roman"/>
          <w:sz w:val="24"/>
          <w:szCs w:val="24"/>
        </w:rPr>
        <w:t xml:space="preserve">(15–45°C).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Condición termófila</w:t>
      </w:r>
      <w:r w:rsidRPr="00686018">
        <w:rPr>
          <w:rFonts w:ascii="Times New Roman" w:hAnsi="Times New Roman" w:cs="Times New Roman"/>
        </w:rPr>
        <w:t xml:space="preserve"> </w:t>
      </w:r>
      <w:r w:rsidRPr="00686018">
        <w:rPr>
          <w:rFonts w:ascii="Times New Roman" w:hAnsi="Times New Roman" w:cs="Times New Roman"/>
          <w:sz w:val="24"/>
          <w:szCs w:val="24"/>
        </w:rPr>
        <w:t>(45–65°C).</w:t>
      </w:r>
    </w:p>
    <w:p w:rsidR="00DF46F4" w:rsidRPr="00686018" w:rsidRDefault="00DF46F4" w:rsidP="00A31608">
      <w:pPr>
        <w:pStyle w:val="Ttulo6"/>
        <w:numPr>
          <w:ilvl w:val="4"/>
          <w:numId w:val="4"/>
        </w:numPr>
        <w:ind w:left="794" w:hanging="794"/>
        <w:jc w:val="both"/>
        <w:rPr>
          <w:rFonts w:ascii="Times New Roman" w:hAnsi="Times New Roman" w:cs="Times New Roman"/>
          <w:i w:val="0"/>
          <w:u w:val="none"/>
        </w:rPr>
      </w:pPr>
      <w:bookmarkStart w:id="77" w:name="_Toc535410448"/>
      <w:bookmarkStart w:id="78" w:name="_Toc9537788"/>
      <w:r w:rsidRPr="00686018">
        <w:rPr>
          <w:rFonts w:ascii="Times New Roman" w:hAnsi="Times New Roman" w:cs="Times New Roman"/>
          <w:i w:val="0"/>
          <w:u w:val="none"/>
        </w:rPr>
        <w:t>Efecto de la temperatura en la digestión anaerobia.</w:t>
      </w:r>
      <w:bookmarkEnd w:id="77"/>
      <w:bookmarkEnd w:id="78"/>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El efecto de la temperatura puede aparecer en la actividad metabólica de los organismos (Figura 2). Al realizar la digestión anaerobia de residuos alimentarios en condiciones termofilicas, la eficiencia de la remoción de la demanda química de </w:t>
      </w:r>
      <w:r w:rsidRPr="00686018">
        <w:rPr>
          <w:rFonts w:ascii="Times New Roman" w:hAnsi="Times New Roman" w:cs="Times New Roman"/>
          <w:sz w:val="24"/>
          <w:szCs w:val="24"/>
        </w:rPr>
        <w:lastRenderedPageBreak/>
        <w:t xml:space="preserve">oxígeno se eleva. Sin embargo, al aumentar más la temperatura la eficiencia de remoción disminuye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{"citationItems":[{"id":"ITEM-1","itemData":{"DOI":"10.1263/jbb.102.328","ISBN":"1389-1723 (Print)\\r1347-4421 (Linking)","ISSN":"13891723","PMID":"17116580","abstract":"A modified three-stage methane fermentation system was developed to digest food waste efficiently. This system consisted of three stages: semianaerobic hydrolysis, anaerobic acidogenesis and strictly anaerobic methanogenesis. In this study, we examined the effects of temperature and hydraulic retention time (HRT) on the methanogenesis. Operation temperature was adjusted from 30 degrees C to 55 degrees C, and the HRTs ranged from 8 to 12 d. The rate of soluble chemical oxygen demand (sCOD) removal correlated with digestion time according to the first-order kinetic model developed by Grau et al. [Water Res., 9, 637-642 (1975)]. With liquor food waste, thermophilic digesters showed a higher rate of sCOD removal than mesophilic digesters. The rates of biogas and methane production by thermophilic digesters were higher than those by mesophilic digesters regardless of HRT. Although maximum biogas production occurred when an HRT of 10 d was used, the methane yield was the highest in the reactor when an HRT of 12 d was used (223 l CH4/kg sCODdegraded). However, digestion stability decreased when an HRT of 8 d was used. The concentration of NH3-N generated in this experiment did not inhibit anaerobic digestion.","author":[{"dropping-particle":"","family":"Kim","given":"Jung Kon","non-dropping-particle":"","parse-names":false,"suffix":""},{"dropping-particle":"","family":"Oh","given":"Baek Rock","non-dropping-particle":"","parse-names":false,"suffix":""},{"dropping-particle":"","family":"Chun","given":"Young Nam","non-dropping-particle":"","parse-names":false,"suffix":""},{"dropping-particle":"","family":"Kim","given":"Si Wouk","non-dropping-particle":"","parse-names":false,"suffix":""}],"container-title":"Journal of Bioscience and Bioengineering","id":"ITEM-1","issue":"4","issued":{"date-parts":[["2006"]]},"page":"328-332","title":"Effects of temperature and hydraulic retention time on anaerobic digestion of food waste","type":"article-journal","volume":"102"},"uris":["http://www.mendeley.com/documents/?uuid=d1f2befb-51d9-4cf5-a6c5-a75f70f07c85"]}],"mendeley":{"formattedCitation":"(Kim et al. 2006)","plainTextFormattedCitation":"(Kim et al. 2006)","previouslyFormattedCitation":"(Kim et al. 2006)"},"properties":{"noteIndex":0},"schema":"https://github.com/citation-style-language/schema/raw/master/csl-citation.json"}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(Kim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2006)</w:t>
      </w:r>
      <w:r w:rsidRPr="00686018">
        <w:rPr>
          <w:rFonts w:ascii="Times New Roman" w:hAnsi="Times New Roman" w:cs="Times New Roman"/>
          <w:sz w:val="24"/>
          <w:szCs w:val="24"/>
        </w:rPr>
        <w:fldChar w:fldCharType="end"/>
      </w:r>
      <w:r w:rsidRPr="00686018">
        <w:rPr>
          <w:rFonts w:ascii="Times New Roman" w:hAnsi="Times New Roman" w:cs="Times New Roman"/>
          <w:color w:val="FF0000"/>
          <w:sz w:val="24"/>
          <w:szCs w:val="24"/>
        </w:rPr>
        <w:t>.</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Las variaciones de temperatura pueden afectar a las bacterias hidrolíticas que son responsables de la degradación de materiales complejos. Además, las bacterias acidógenas no pueden tolerar los cambios de temperatura y están activas en un rango de temperatura específico.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La disminución de la temperatura óptima puede causar acidificación debido a la acumulación de AGV. Las bacterias metanogénicas tampoco pueden tolerar fluctuaciones de temperatura superiores a 1°C/d </w:t>
      </w:r>
      <w:sdt>
        <w:sdtPr>
          <w:rPr>
            <w:rFonts w:ascii="Times New Roman" w:hAnsi="Times New Roman" w:cs="Times New Roman"/>
          </w:rPr>
          <w:id w:val="343295115"/>
          <w:citation/>
        </w:sdtPr>
        <w:sdtEndPr/>
        <w:sdtContent>
          <w:r w:rsidRPr="00686018">
            <w:rPr>
              <w:rFonts w:ascii="Times New Roman" w:hAnsi="Times New Roman" w:cs="Times New Roman"/>
              <w:sz w:val="24"/>
              <w:szCs w:val="24"/>
            </w:rPr>
            <w:fldChar w:fldCharType="begin"/>
          </w:r>
          <w:r w:rsidRPr="00686018">
            <w:rPr>
              <w:rFonts w:ascii="Times New Roman" w:hAnsi="Times New Roman" w:cs="Times New Roman"/>
              <w:sz w:val="24"/>
              <w:szCs w:val="24"/>
            </w:rPr>
            <w:instrText xml:space="preserve"> CITATION Met03 \l 12298 </w:instrText>
          </w:r>
          <w:r w:rsidRPr="00686018">
            <w:rPr>
              <w:rFonts w:ascii="Times New Roman" w:hAnsi="Times New Roman" w:cs="Times New Roman"/>
              <w:sz w:val="24"/>
              <w:szCs w:val="24"/>
            </w:rPr>
            <w:fldChar w:fldCharType="separate"/>
          </w:r>
          <w:r w:rsidR="00F737D9" w:rsidRPr="00686018">
            <w:rPr>
              <w:rFonts w:ascii="Times New Roman" w:hAnsi="Times New Roman" w:cs="Times New Roman"/>
              <w:noProof/>
              <w:sz w:val="24"/>
              <w:szCs w:val="24"/>
            </w:rPr>
            <w:t>(Inc 2003)</w:t>
          </w:r>
          <w:r w:rsidRPr="00686018">
            <w:rPr>
              <w:rFonts w:ascii="Times New Roman" w:hAnsi="Times New Roman" w:cs="Times New Roman"/>
              <w:sz w:val="24"/>
              <w:szCs w:val="24"/>
            </w:rPr>
            <w:fldChar w:fldCharType="end"/>
          </w:r>
        </w:sdtContent>
      </w:sdt>
      <w:r w:rsidRPr="00686018">
        <w:rPr>
          <w:rFonts w:ascii="Times New Roman" w:hAnsi="Times New Roman" w:cs="Times New Roman"/>
          <w:sz w:val="24"/>
          <w:szCs w:val="24"/>
        </w:rPr>
        <w:t xml:space="preserve">. </w:t>
      </w:r>
    </w:p>
    <w:p w:rsidR="00DF46F4" w:rsidRPr="00686018" w:rsidRDefault="00841456" w:rsidP="00891002">
      <w:pPr>
        <w:spacing w:before="360" w:after="120"/>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drawing>
          <wp:inline distT="0" distB="0" distL="0" distR="0" wp14:anchorId="2BF776E8" wp14:editId="4F995F7F">
            <wp:extent cx="4014140" cy="2732314"/>
            <wp:effectExtent l="0" t="0" r="5715" b="0"/>
            <wp:docPr id="42" name="Imagen 42" descr="D:\Shäferhund\LateX folder\images\tem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häferhund\LateX folder\images\temp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0495" cy="2736640"/>
                    </a:xfrm>
                    <a:prstGeom prst="rect">
                      <a:avLst/>
                    </a:prstGeom>
                    <a:noFill/>
                    <a:ln>
                      <a:noFill/>
                    </a:ln>
                  </pic:spPr>
                </pic:pic>
              </a:graphicData>
            </a:graphic>
          </wp:inline>
        </w:drawing>
      </w:r>
    </w:p>
    <w:p w:rsidR="00DF46F4" w:rsidRPr="00686018" w:rsidRDefault="00B639AA" w:rsidP="00A31608">
      <w:pPr>
        <w:pStyle w:val="Descripcin"/>
        <w:jc w:val="center"/>
        <w:rPr>
          <w:rFonts w:ascii="Times New Roman" w:hAnsi="Times New Roman" w:cs="Times New Roman"/>
          <w:i w:val="0"/>
          <w:color w:val="auto"/>
        </w:rPr>
      </w:pPr>
      <w:bookmarkStart w:id="79" w:name="_Toc9537870"/>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i w:val="0"/>
          <w:color w:val="auto"/>
        </w:rPr>
        <w:t>Efecto de la temperatura en la remoción de la DQO.</w:t>
      </w:r>
      <w:bookmarkEnd w:id="79"/>
    </w:p>
    <w:p w:rsidR="00DF46F4" w:rsidRPr="00686018" w:rsidRDefault="00DF46F4" w:rsidP="00A31608">
      <w:pPr>
        <w:pStyle w:val="Descripcin"/>
        <w:spacing w:before="360" w:after="360"/>
        <w:jc w:val="center"/>
        <w:rPr>
          <w:rFonts w:ascii="Times New Roman" w:hAnsi="Times New Roman" w:cs="Times New Roman"/>
          <w:i w:val="0"/>
          <w:color w:val="auto"/>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 xml:space="preserve">Tomado de </w:t>
      </w:r>
      <w:r w:rsidRPr="00686018">
        <w:rPr>
          <w:rFonts w:ascii="Times New Roman" w:hAnsi="Times New Roman" w:cs="Times New Roman"/>
          <w:i w:val="0"/>
          <w:color w:val="auto"/>
          <w:szCs w:val="24"/>
        </w:rPr>
        <w:fldChar w:fldCharType="begin" w:fldLock="1"/>
      </w:r>
      <w:r w:rsidRPr="00686018">
        <w:rPr>
          <w:rFonts w:ascii="Times New Roman" w:hAnsi="Times New Roman" w:cs="Times New Roman"/>
          <w:i w:val="0"/>
          <w:color w:val="auto"/>
          <w:szCs w:val="24"/>
        </w:rPr>
        <w:instrText>ADDIN CSL_CITATION {"citationItems":[{"id":"ITEM-1","itemData":{"DOI":"10.1263/jbb.102.328","ISBN":"1389-1723 (Print)\\r1347-4421 (Linking)","ISSN":"13891723","PMID":"17116580","abstract":"A modified three-stage methane fermentation system was developed to digest food waste efficiently. This system consisted of three stages: semianaerobic hydrolysis, anaerobic acidogenesis and strictly anaerobic methanogenesis. In this study, we examined the effects of temperature and hydraulic retention time (HRT) on the methanogenesis. Operation temperature was adjusted from 30 degrees C to 55 degrees C, and the HRTs ranged from 8 to 12 d. The rate of soluble chemical oxygen demand (sCOD) removal correlated with digestion time according to the first-order kinetic model developed by Grau et al. [Water Res., 9, 637-642 (1975)]. With liquor food waste, thermophilic digesters showed a higher rate of sCOD removal than mesophilic digesters. The rates of biogas and methane production by thermophilic digesters were higher than those by mesophilic digesters regardless of HRT. Although maximum biogas production occurred when an HRT of 10 d was used, the methane yield was the highest in the reactor when an HRT of 12 d was used (223 l CH4/kg sCODdegraded). However, digestion stability decreased when an HRT of 8 d was used. The concentration of NH3-N generated in this experiment did not inhibit anaerobic digestion.","author":[{"dropping-particle":"","family":"Kim","given":"Jung Kon","non-dropping-particle":"","parse-names":false,"suffix":""},{"dropping-particle":"","family":"Oh","given":"Baek Rock","non-dropping-particle":"","parse-names":false,"suffix":""},{"dropping-particle":"","family":"Chun","given":"Young Nam","non-dropping-particle":"","parse-names":false,"suffix":""},{"dropping-particle":"","family":"Kim","given":"Si Wouk","non-dropping-particle":"","parse-names":false,"suffix":""}],"container-title":"Journal of Bioscience and Bioengineering","id":"ITEM-1","issue":"4","issued":{"date-parts":[["2006"]]},"page":"328-332","title":"Effects of temperature and hydraulic retention time on anaerobic digestion of food waste","type":"article-journal","volume":"102"},"uris":["http://www.mendeley.com/documents/?uuid=d1f2befb-51d9-4cf5-a6c5-a75f70f07c85"]}],"mendeley":{"formattedCitation":"(Kim et al. 2006)","plainTextFormattedCitation":"(Kim et al. 2006)","previouslyFormattedCitation":"(Kim et al. 2006)"},"properties":{"noteIndex":0},"schema":"https://github.com/citation-style-language/schema/raw/master/csl-citation.json"}</w:instrText>
      </w:r>
      <w:r w:rsidRPr="00686018">
        <w:rPr>
          <w:rFonts w:ascii="Times New Roman" w:hAnsi="Times New Roman" w:cs="Times New Roman"/>
          <w:i w:val="0"/>
          <w:color w:val="auto"/>
          <w:szCs w:val="24"/>
        </w:rPr>
        <w:fldChar w:fldCharType="separate"/>
      </w:r>
      <w:r w:rsidRPr="00686018">
        <w:rPr>
          <w:rFonts w:ascii="Times New Roman" w:hAnsi="Times New Roman" w:cs="Times New Roman"/>
          <w:i w:val="0"/>
          <w:noProof/>
          <w:color w:val="auto"/>
          <w:szCs w:val="24"/>
        </w:rPr>
        <w:t xml:space="preserve">(Kim </w:t>
      </w:r>
      <w:r w:rsidR="00C80D09">
        <w:rPr>
          <w:rFonts w:ascii="Times New Roman" w:hAnsi="Times New Roman" w:cs="Times New Roman"/>
          <w:i w:val="0"/>
          <w:noProof/>
          <w:color w:val="auto"/>
          <w:szCs w:val="24"/>
        </w:rPr>
        <w:t>et al.,</w:t>
      </w:r>
      <w:r w:rsidRPr="00686018">
        <w:rPr>
          <w:rFonts w:ascii="Times New Roman" w:hAnsi="Times New Roman" w:cs="Times New Roman"/>
          <w:i w:val="0"/>
          <w:noProof/>
          <w:color w:val="auto"/>
          <w:szCs w:val="24"/>
        </w:rPr>
        <w:t xml:space="preserve"> 2006)</w:t>
      </w:r>
      <w:r w:rsidRPr="00686018">
        <w:rPr>
          <w:rFonts w:ascii="Times New Roman" w:hAnsi="Times New Roman" w:cs="Times New Roman"/>
          <w:i w:val="0"/>
          <w:color w:val="auto"/>
          <w:szCs w:val="24"/>
        </w:rPr>
        <w:fldChar w:fldCharType="end"/>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Trabajar en condiciones termófilas (&gt; 45 °C) puede mejorar el rendimiento de la digestión anaeróbica debido a la mayor solubilidad de los compuestos orgánicos y velocidades de reacción bioquímicos, menor solubilidad del gas en el líquido, mayor desactivación de patógeno y menor emisión de olores (Neshat </w:t>
      </w:r>
      <w:r w:rsidR="00C80D09">
        <w:rPr>
          <w:rFonts w:ascii="Times New Roman" w:hAnsi="Times New Roman" w:cs="Times New Roman"/>
          <w:sz w:val="24"/>
          <w:szCs w:val="24"/>
        </w:rPr>
        <w:t>et al.,</w:t>
      </w:r>
      <w:r w:rsidRPr="00686018">
        <w:rPr>
          <w:rFonts w:ascii="Times New Roman" w:hAnsi="Times New Roman" w:cs="Times New Roman"/>
          <w:sz w:val="24"/>
          <w:szCs w:val="24"/>
        </w:rPr>
        <w:t xml:space="preserve"> 2017). Sin embargo, desde el punto de vista microbiano y en general, el proceso mesofilico a menudo involucra una mayor diversidad de microrganismos y un proceso más estable, comparado al proceso termofilico el cual posee una menor variedad de microorganismos disponibles y activos</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{"citationItems":[{"id":"ITEM-1","itemData":{"DOI":"10.1016/j.pecs.2008.06.002","ISBN":"0360-1285","ISSN":"03601285","PMID":"22883686","abstract":"When treating municipal wastewater, the disposal of sludge is a problem of growing importance, representing up to 50% of the current operating costs of a wastewater treatment plant. Although different disposal routes are possible, anaerobic digestion plays an important role for its abilities to further transform organic matter into biogas (60-70 vol% of methane, CH4), as thereby it also reduces the amount of final sludge solids for disposal whilst destroying most of the pathogens present in the sludge and limiting odour problems associated with residual putrescible matter. Anaerobic digestion thus optimises WWTP costs, its environmental footprint and is considered a major and essential part of a modern WWTP. The potential of using the biogas as energy source has long been widely recognised and current techniques are being developed to upgrade quality and to enhance energy use. The present paper extensively reviews the principles of anaerobic digestion, the process parameters and their interaction, the design methods, the biogas utilisation, the possible problems and potential pro-active cures, and the recent developments to reduce the impact of the problems. After having reviewed the basic principles and techniques of the anaerobic digestion process, modelling concepts will be assessed to delineate the dominant parameters. Hydrolysis is recognised as rate-limiting step in the complex digestion process. The microbiology of anaerobic digestion is complex and delicate, involving several bacterial groups, each of them having their own optimum working conditions. As will be shown, these groups are sensitive to and possibly inhibited by several process parameters such as pH, alkalinity, concentration of free ammonia, hydrogen, sodium, potassium, heavy metals, volatile fatty acids and others. To accelerate the digestion and enhance the production of biogas, various pre-treatments can be used to improve the rate-limiting hydrolysis. These treatments include mechanical, thermal, chemical and biological interventions to the feedstock. All pre-treatments result in a lysis or disintegration of sludge cells, thus releasing and solubilising intracellular material into the water phase and transforming refractory organic material into biodegradable species. Possible techniques to upgrade the biogas formed by removing CO2, H2S and excess moisture will be summarised. Special attention will be paid to the problems associated with siloxanes (SX) possibly present in the slu…","author":[{"dropping-particle":"","family":"Appels","given":"Lise","non-dropping-particle":"","parse-names":false,"suffix":""},{"dropping-particle":"","family":"Baeyens","given":"Jan","non-dropping-particle":"","parse-names":false,"suffix":""},{"dropping-particle":"","family":"Degrève","given":"Jan","non-dropping-particle":"","parse-names":false,"suffix":""},{"dropping-particle":"","family":"Dewil","given":"Raf","non-dropping-particle":"","parse-names":false,"suffix":""}],"container-title":"Progress in Energy and Combustion Science","id":"ITEM-1","issue":"6","issued":{"date-parts":[["2008"]]},"page":"755-781","title":"Principles and potential of the anaerobic digestion of waste-activated sludge","type":"article-journal","volume":"34"},"uris":["http://www.mendeley.com/documents/?uuid=17de9066-6766-4afd-b5e8-a99cbaa06321"]}],"mendeley":{"formattedCitation":"(Appels et al. 2008)","plainTextFormattedCitation":"(Appels et al. 2008)","previouslyFormattedCitation":"(Appels et al. 2008)"},"properties":{"noteIndex":0},"schema":"https://github.com/citation-style-language/schema/raw/master/csl-citation.json"}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(Appels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2008)</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La operación a temperaturas más altas no resulta en mayores rendimientos de metano. De hecho, las temperaturas más altas conducen a una mayor producción de biogás (</w:t>
      </w:r>
      <w:r w:rsidRPr="00C80D09">
        <w:rPr>
          <w:rFonts w:ascii="Times New Roman" w:hAnsi="Times New Roman" w:cs="Times New Roman"/>
          <w:b/>
          <w:sz w:val="24"/>
          <w:szCs w:val="24"/>
        </w:rPr>
        <w:t>Figura 3</w:t>
      </w:r>
      <w:r w:rsidRPr="00686018">
        <w:rPr>
          <w:rFonts w:ascii="Times New Roman" w:hAnsi="Times New Roman" w:cs="Times New Roman"/>
          <w:sz w:val="24"/>
          <w:szCs w:val="24"/>
        </w:rPr>
        <w:t>), pero no mayores rendimientos de metano. Considerando el hecho de que el biogás se compone principalmente de metano y 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una mayor producción de biogás con un contenido de metano más bajo significa una mayor cantidad de 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{"citationItems":[{"id":"ITEM-1","itemData":{"DOI":"10.1016/j.rser.2017.05.137","ISBN":"1364-0321","ISSN":"18790690","abstract":"Anaerobic digestion is a versatile biotechnology for conversion of organic wastes to valuable biogas. Anaerobic digestion of manure is making the most of it, as the process allows simultaneous bio-energy generation, production of nutrient rich soil amendment, reduced emission of greenhouse gases and odor control; it is thus in line with climate friendly farming practices. Despite the enumerated advantages, the potential of manure for biogas production is not fully utilized due to the low and imbalance carbon to nitrogen (C/N) ratio in animal manures. To satisfy the anaerobic digestion requirements and to compensate the carbon deficiency of manure, there should be another carbon-rich substrate to be co-digested with manure to improve its characteristics for anaerobic digestion; lignocellulosic biomass residues seem promising for this purpose. This work presents a review on anaerobic co-digestion of animal manure and lignocellulosic feedstock for biogas production. Several research studies conducted on co-digestion of these organic wastes are described and reviewed. The impact of numerous parameters including temperature, pH, organic loading rate (OLR), hydraulic retention time (HRT), C/N ratio, alkalinity and concentration of volatile fatty acids (VFAs) on the performance and stability of the co-digestion process is extensively discussed. The influence of various pretreatment methods including physical, chemical and biological pretreatments on providing well-prepared substrate for anaerobic co-digestion and thus enhancement of biogas production is discussed. An overview of the most significant factors and intermediates which can inhibit or even cease the process is also presented.","author":[{"dropping-particle":"","family":"Neshat","given":"Soheil A.","non-dropping-particle":"","parse-names":false,"suffix":""},{"dropping-particle":"","family":"Mohammadi","given":"Maedeh","non-dropping-particle":"","parse-names":false,"suffix":""},{"dropping-particle":"","family":"Najafpour","given":"Ghasem D.","non-dropping-particle":"","parse-names":false,"suffix":""},{"dropping-particle":"","family":"Lahijani","given":"Pooya","non-dropping-particle":"","parse-names":false,"suffix":""}],"container-title":"Renewable and Sustainable Energy Reviews","id":"ITEM-1","issue":"July 2016","issued":{"date-parts":[["2017"]]},"page":"308-322","publisher":"Elsevier Ltd","title":"Anaerobic co-digestion of animal manures and lignocellulosic residues as a potent approach for sustainable biogas production","type":"article-journal","volume":"79"},"uris":["http://www.mendeley.com/documents/?uuid=79ec5037-db0a-4c66-a384-cbaaaf810b7b"]}],"mendeley":{"formattedCitation":"(Neshat et al. 2017)","plainTextFormattedCitation":"(Neshat et al. 2017)","previouslyFormattedCitation":"(Neshat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(Neshat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Trabajar en condiciones mesofílicas requiere </w:t>
      </w:r>
      <w:r w:rsidRPr="00686018">
        <w:rPr>
          <w:rFonts w:ascii="Times New Roman" w:hAnsi="Times New Roman" w:cs="Times New Roman"/>
          <w:sz w:val="24"/>
          <w:szCs w:val="24"/>
        </w:rPr>
        <w:lastRenderedPageBreak/>
        <w:t>menos energía y puede mejorar la estabilidad del proceso y la inactivación de patógenos como ya se ha mencionado.</w:t>
      </w:r>
    </w:p>
    <w:p w:rsidR="00DF46F4" w:rsidRPr="00686018" w:rsidRDefault="00A31608" w:rsidP="00891002">
      <w:pPr>
        <w:spacing w:before="360"/>
        <w:jc w:val="center"/>
        <w:rPr>
          <w:rFonts w:ascii="Times New Roman" w:hAnsi="Times New Roman" w:cs="Times New Roman"/>
          <w:sz w:val="24"/>
          <w:szCs w:val="24"/>
        </w:rPr>
      </w:pPr>
      <w:r w:rsidRPr="00A31608">
        <w:rPr>
          <w:rFonts w:ascii="Times New Roman" w:hAnsi="Times New Roman" w:cs="Times New Roman"/>
          <w:noProof/>
          <w:sz w:val="24"/>
          <w:szCs w:val="24"/>
          <w:lang w:eastAsia="es-EC"/>
        </w:rPr>
        <w:drawing>
          <wp:inline distT="0" distB="0" distL="0" distR="0" wp14:anchorId="49F17456" wp14:editId="4F08E1FB">
            <wp:extent cx="3700145" cy="2349500"/>
            <wp:effectExtent l="0" t="0" r="0" b="0"/>
            <wp:docPr id="3" name="Imagen 3" descr="D:\Shäferhund\LateX folder\images\tem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häferhund\LateX folder\images\temp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00145" cy="2349500"/>
                    </a:xfrm>
                    <a:prstGeom prst="rect">
                      <a:avLst/>
                    </a:prstGeom>
                    <a:noFill/>
                    <a:ln>
                      <a:noFill/>
                    </a:ln>
                  </pic:spPr>
                </pic:pic>
              </a:graphicData>
            </a:graphic>
          </wp:inline>
        </w:drawing>
      </w:r>
    </w:p>
    <w:p w:rsidR="00DF46F4" w:rsidRPr="00686018" w:rsidRDefault="00B639AA" w:rsidP="00A31608">
      <w:pPr>
        <w:pStyle w:val="Descripcin"/>
        <w:jc w:val="center"/>
        <w:rPr>
          <w:rFonts w:ascii="Times New Roman" w:hAnsi="Times New Roman" w:cs="Times New Roman"/>
          <w:i w:val="0"/>
          <w:color w:val="auto"/>
        </w:rPr>
      </w:pPr>
      <w:bookmarkStart w:id="80" w:name="_Toc9537871"/>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3</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Efecto de la temperatura en la producción de biogás</w:t>
      </w:r>
      <w:bookmarkEnd w:id="80"/>
    </w:p>
    <w:p w:rsidR="00DF46F4" w:rsidRPr="00686018" w:rsidRDefault="00DF46F4" w:rsidP="00A31608">
      <w:pPr>
        <w:pStyle w:val="Descripcin"/>
        <w:jc w:val="center"/>
        <w:rPr>
          <w:rFonts w:ascii="Times New Roman" w:hAnsi="Times New Roman" w:cs="Times New Roman"/>
          <w:i w:val="0"/>
          <w:color w:val="auto"/>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 xml:space="preserve">Tomado de </w:t>
      </w:r>
      <w:r w:rsidRPr="00686018">
        <w:rPr>
          <w:rFonts w:ascii="Times New Roman" w:hAnsi="Times New Roman" w:cs="Times New Roman"/>
          <w:i w:val="0"/>
          <w:color w:val="auto"/>
          <w:szCs w:val="24"/>
        </w:rPr>
        <w:fldChar w:fldCharType="begin" w:fldLock="1"/>
      </w:r>
      <w:r w:rsidRPr="00686018">
        <w:rPr>
          <w:rFonts w:ascii="Times New Roman" w:hAnsi="Times New Roman" w:cs="Times New Roman"/>
          <w:i w:val="0"/>
          <w:color w:val="auto"/>
          <w:szCs w:val="24"/>
        </w:rPr>
        <w:instrText>ADDIN CSL_CITATION {"citationItems":[{"id":"ITEM-1","itemData":{"DOI":"10.1016/j.ecoenv.2015.04.051","ISBN":"0147-6513","ISSN":"10902414","PMID":"25963808","abstract":"In the present study, biogas production from food waste through anaerobic digestion was carried out in a 2l laboratory-scale batch reactor operating at different temperatures with a hydraulic retention time of 30 days. The reactors were operated with a solid concentration of 7.5% of total solids and pH 7. The food wastes used in this experiment were subjected to characterization studies before and after digestion. Modified Gompertz model and Logistic model were used for kinetic study of biogas production. The kinetic parameters, biogas yield potential of the substrate (B), the maximum biogas production rate (R&lt;inf&gt;b&lt;/inf&gt;) and the duration of lag phase (λ), coefficient of determination (R&lt;sup&gt;2&lt;/sup&gt;) and root mean square error (RMSE) were estimated in each case. The effect of temperature on biogas production was evaluated experimentally and compared with the results of kinetic study. The results demonstrated that the reactor with operating temperature of 50°C achieved maximum cumulative biogas production of 7556ml with better biodegradation efficiency.","author":[{"dropping-particle":"","family":"Deepanraj","given":"B.","non-dropping-particle":"","parse-names":false,"suffix":""},{"dropping-particle":"","family":"Sivasubramanian","given":"V.","non-dropping-particle":"","parse-names":false,"suffix":""},{"dropping-particle":"","family":"Jayaraj","given":"S.","non-dropping-particle":"","parse-names":false,"suffix":""}],"container-title":"Ecotoxicology and Environmental Safety","id":"ITEM-1","issued":{"date-parts":[["2015"]]},"page":"100-104","publisher":"Elsevier","title":"Kinetic study on the effect of temperature on biogas production using a lab scale batch reactor","type":"article-journal","volume":"121"},"uris":["http://www.mendeley.com/documents/?uuid=8675cd33-6758-48d1-adce-b915d00ca0bb"]}],"mendeley":{"formattedCitation":"(Deepanraj et al. 2015)","plainTextFormattedCitation":"(Deepanraj et al. 2015)","previouslyFormattedCitation":"(Deepanraj et al. 2015)"},"properties":{"noteIndex":0},"schema":"https://github.com/citation-style-language/schema/raw/master/csl-citation.json"}</w:instrText>
      </w:r>
      <w:r w:rsidRPr="00686018">
        <w:rPr>
          <w:rFonts w:ascii="Times New Roman" w:hAnsi="Times New Roman" w:cs="Times New Roman"/>
          <w:i w:val="0"/>
          <w:color w:val="auto"/>
          <w:szCs w:val="24"/>
        </w:rPr>
        <w:fldChar w:fldCharType="separate"/>
      </w:r>
      <w:r w:rsidRPr="00686018">
        <w:rPr>
          <w:rFonts w:ascii="Times New Roman" w:hAnsi="Times New Roman" w:cs="Times New Roman"/>
          <w:i w:val="0"/>
          <w:noProof/>
          <w:color w:val="auto"/>
          <w:szCs w:val="24"/>
        </w:rPr>
        <w:t xml:space="preserve">(Deepanraj </w:t>
      </w:r>
      <w:r w:rsidR="00C80D09">
        <w:rPr>
          <w:rFonts w:ascii="Times New Roman" w:hAnsi="Times New Roman" w:cs="Times New Roman"/>
          <w:i w:val="0"/>
          <w:noProof/>
          <w:color w:val="auto"/>
          <w:szCs w:val="24"/>
        </w:rPr>
        <w:t>et al.,</w:t>
      </w:r>
      <w:r w:rsidRPr="00686018">
        <w:rPr>
          <w:rFonts w:ascii="Times New Roman" w:hAnsi="Times New Roman" w:cs="Times New Roman"/>
          <w:i w:val="0"/>
          <w:noProof/>
          <w:color w:val="auto"/>
          <w:szCs w:val="24"/>
        </w:rPr>
        <w:t xml:space="preserve"> 2015)</w:t>
      </w:r>
      <w:r w:rsidRPr="00686018">
        <w:rPr>
          <w:rFonts w:ascii="Times New Roman" w:hAnsi="Times New Roman" w:cs="Times New Roman"/>
          <w:i w:val="0"/>
          <w:color w:val="auto"/>
          <w:szCs w:val="24"/>
        </w:rPr>
        <w:fldChar w:fldCharType="end"/>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81" w:name="_Toc535410449"/>
      <w:bookmarkStart w:id="82" w:name="_Toc9537789"/>
      <w:r w:rsidRPr="00686018">
        <w:rPr>
          <w:rFonts w:ascii="Times New Roman" w:hAnsi="Times New Roman" w:cs="Times New Roman"/>
          <w:i w:val="0"/>
        </w:rPr>
        <w:t>pH</w:t>
      </w:r>
      <w:bookmarkEnd w:id="81"/>
      <w:bookmarkEnd w:id="82"/>
      <w:r w:rsidRPr="00686018">
        <w:rPr>
          <w:rFonts w:ascii="Times New Roman" w:hAnsi="Times New Roman" w:cs="Times New Roman"/>
          <w:i w:val="0"/>
        </w:rPr>
        <w:t xml:space="preserve">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El pH se conoce como un parámetro muy importante y sensible con impacto directo en el rendimiento de los sistemas de digestión anaeróbica. La dependencia del pH de la digestión anaeróbica se relaciona con las reacciones enzimáticas de los microorganismos involucrados en el proceso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{"citationItems":[{"id":"ITEM-1","itemData":{"DOI":"10.1016/j.rser.2017.05.137","ISBN":"1364-0321","ISSN":"18790690","abstract":"Anaerobic digestion is a versatile biotechnology for conversion of organic wastes to valuable biogas. Anaerobic digestion of manure is making the most of it, as the process allows simultaneous bio-energy generation, production of nutrient rich soil amendment, reduced emission of greenhouse gases and odor control; it is thus in line with climate friendly farming practices. Despite the enumerated advantages, the potential of manure for biogas production is not fully utilized due to the low and imbalance carbon to nitrogen (C/N) ratio in animal manures. To satisfy the anaerobic digestion requirements and to compensate the carbon deficiency of manure, there should be another carbon-rich substrate to be co-digested with manure to improve its characteristics for anaerobic digestion; lignocellulosic biomass residues seem promising for this purpose. This work presents a review on anaerobic co-digestion of animal manure and lignocellulosic feedstock for biogas production. Several research studies conducted on co-digestion of these organic wastes are described and reviewed. The impact of numerous parameters including temperature, pH, organic loading rate (OLR), hydraulic retention time (HRT), C/N ratio, alkalinity and concentration of volatile fatty acids (VFAs) on the performance and stability of the co-digestion process is extensively discussed. The influence of various pretreatment methods including physical, chemical and biological pretreatments on providing well-prepared substrate for anaerobic co-digestion and thus enhancement of biogas production is discussed. An overview of the most significant factors and intermediates which can inhibit or even cease the process is also presented.","author":[{"dropping-particle":"","family":"Neshat","given":"Soheil A.","non-dropping-particle":"","parse-names":false,"suffix":""},{"dropping-particle":"","family":"Mohammadi","given":"Maedeh","non-dropping-particle":"","parse-names":false,"suffix":""},{"dropping-particle":"","family":"Najafpour","given":"Ghasem D.","non-dropping-particle":"","parse-names":false,"suffix":""},{"dropping-particle":"","family":"Lahijani","given":"Pooya","non-dropping-particle":"","parse-names":false,"suffix":""}],"container-title":"Renewable and Sustainable Energy Reviews","id":"ITEM-1","issue":"July 2016","issued":{"date-parts":[["2017"]]},"page":"308-322","publisher":"Elsevier Ltd","title":"Anaerobic co-digestion of animal manures and lignocellulosic residues as a potent approach for sustainable biogas production","type":"article-journal","volume":"79"},"uris":["http://www.mendeley.com/documents/?uuid=a4690050-021f-4c2e-811f-2b295215c0d7"]}],"mendeley":{"formattedCitation":"(Neshat et al. 2017)","plainTextFormattedCitation":"(Neshat et al. 2017)","previouslyFormattedCitation":"(Neshat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(Neshat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En la digestión anaerobia, el rango de pH más favorable para obtener un máximo rendimiento de metano es de alrededor de 6.8-7.2</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{"citationItems":[{"id":"ITEM-1","itemData":{"DOI":"10.1016/j.rser.2016.11.184","ISBN":"13640321","ISSN":"18790690","abstract":"Globally, there is increasing awareness that renewable energy and energy efficiency are vital for both creating new economic opportunities and controlling the environmental pollution. AD technology is the biochemical process of biogas production which can change the complex organic materials into a clean and renewable source of energy. AcoD process is a reliable alternative option to resolve the disadvantages of single substrate digestion system related to substrate characteristics and system optimization. This paper reviewed the research progress and challenges of AcoD technology, and the contribution of different techniques in biogas production engineering. As the applicability and demand of the AcoD technology increases, the complexity of the system becomes increased, and the characterization of organic materials becomes volatile which requires advanced methods for investigation. Numerous publications have been noted that ADM1 model and its modified version becomes the most powerful tool to optimize the AcoD process of biogas production, and indicating that the disintegration and hydrolysis steps are the limiting factors of co-digestion process. Biochemical methane potential (BMP) test is promising method to determine the biodegradability and decomposition rate of organic materials. The addition of different environmentally friendly nanoparticles can improve the stability and performance of the AcoD system. The process optimization and improvement of biogas production still seek further investigations. Furthermore, using advanced simulation approaches and characterization methods of organic wastes can accelerate the transformation to industrializations, and realize the significant improvement of biogas production as a renewable source and economically feasible energy in developing countries, like China. Finally, the review reveals, designing and developing a framework, including various aspects to improve the biogas production is essential.","author":[{"dropping-particle":"","family":"Hagos","given":"Kiros","non-dropping-particle":"","parse-names":false,"suffix":""},{"dropping-particle":"","family":"Zong","given":"Jianpeng","non-dropping-particle":"","parse-names":false,"suffix":""},{"dropping-particle":"","family":"Li","given":"Dongxue","non-dropping-particle":"","parse-names":false,"suffix":""},{"dropping-particle":"","family":"Liu","given":"Chang","non-dropping-particle":"","parse-names":false,"suffix":""},{"dropping-particle":"","family":"Lu","given":"Xiaohua","non-dropping-particle":"","parse-names":false,"suffix":""}],"container-title":"Renewable and Sustainable Energy Reviews","id":"ITEM-1","issue":"September","issued":{"date-parts":[["2017"]]},"page":"1485-1496","publisher":"Elsevier","title":"Anaerobic co-digestion process for biogas production: Progress, challenges and perspectives","type":"article-journal","volume":"76"},"uris":["http://www.mendeley.com/documents/?uuid=646c4b7e-0e28-4baa-ad4e-fd5fcccd6f4a"]}],"mendeley":{"formattedCitation":"(Hagos et al. 2017)","plainTextFormattedCitation":"(Hagos et al. 2017)","previouslyFormattedCitation":"(Hagos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(Hagos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El crecimiento de las bacterias metanogénicas se reduce altamente a valores de pH por debajo de 6.8, pues estas bacterias son muy sensibles a la variación y prefieren un pH de alrededor de 7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{"citationItems":[{"id":"ITEM-1","itemData":{"DOI":"10.1016/j.rser.2016.11.184","ISBN":"13640321","ISSN":"18790690","abstract":"Globally, there is increasing awareness that renewable energy and energy efficiency are vital for both creating new economic opportunities and controlling the environmental pollution. AD technology is the biochemical process of biogas production which can change the complex organic materials into a clean and renewable source of energy. AcoD process is a reliable alternative option to resolve the disadvantages of single substrate digestion system related to substrate characteristics and system optimization. This paper reviewed the research progress and challenges of AcoD technology, and the contribution of different techniques in biogas production engineering. As the applicability and demand of the AcoD technology increases, the complexity of the system becomes increased, and the characterization of organic materials becomes volatile which requires advanced methods for investigation. Numerous publications have been noted that ADM1 model and its modified version becomes the most powerful tool to optimize the AcoD process of biogas production, and indicating that the disintegration and hydrolysis steps are the limiting factors of co-digestion process. Biochemical methane potential (BMP) test is promising method to determine the biodegradability and decomposition rate of organic materials. The addition of different environmentally friendly nanoparticles can improve the stability and performance of the AcoD system. The process optimization and improvement of biogas production still seek further investigations. Furthermore, using advanced simulation approaches and characterization methods of organic wastes can accelerate the transformation to industrializations, and realize the significant improvement of biogas production as a renewable source and economically feasible energy in developing countries, like China. Finally, the review reveals, designing and developing a framework, including various aspects to improve the biogas production is essential.","author":[{"dropping-particle":"","family":"Hagos","given":"Kiros","non-dropping-particle":"","parse-names":false,"suffix":""},{"dropping-particle":"","family":"Zong","given":"Jianpeng","non-dropping-particle":"","parse-names":false,"suffix":""},{"dropping-particle":"","family":"Li","given":"Dongxue","non-dropping-particle":"","parse-names":false,"suffix":""},{"dropping-particle":"","family":"Liu","given":"Chang","non-dropping-particle":"","parse-names":false,"suffix":""},{"dropping-particle":"","family":"Lu","given":"Xiaohua","non-dropping-particle":"","parse-names":false,"suffix":""}],"container-title":"Renewable and Sustainable Energy Reviews","id":"ITEM-1","issue":"September","issued":{"date-parts":[["2017"]]},"page":"1485-1496","publisher":"Elsevier","title":"Anaerobic co-digestion process for biogas production: Progress, challenges and perspectives","type":"article-journal","volume":"76"},"uris":["http://www.mendeley.com/documents/?uuid=646c4b7e-0e28-4baa-ad4e-fd5fcccd6f4a"]}],"mendeley":{"formattedCitation":"(Hagos et al. 2017)","plainTextFormattedCitation":"(Hagos et al. 2017)","previouslyFormattedCitation":"(Hagos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(Hagos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Cuando la TCO aumenta los valores de pH caen (</w:t>
      </w:r>
      <w:r w:rsidRPr="00686018">
        <w:rPr>
          <w:rFonts w:ascii="Times New Roman" w:hAnsi="Times New Roman" w:cs="Times New Roman"/>
          <w:b/>
          <w:sz w:val="24"/>
          <w:szCs w:val="24"/>
        </w:rPr>
        <w:t>Figura 4</w:t>
      </w:r>
      <w:r w:rsidRPr="00686018">
        <w:rPr>
          <w:rFonts w:ascii="Times New Roman" w:hAnsi="Times New Roman" w:cs="Times New Roman"/>
          <w:sz w:val="24"/>
          <w:szCs w:val="24"/>
        </w:rPr>
        <w:t xml:space="preserve">) por debajo de los rangos metanogénicos provocando un bajo rendimiento de biogás y metano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{"citationItems":[{"id":"ITEM-1","itemData":{"DOI":"10.3384/ecp11057411","ISBN":"0197-6664 (Print) 0197-6664 (Linking)","ISSN":"00115266","PMID":"23729949","abstract":"In this study, experiments were conducted to investigate the production of biogas from vegetable wastes by using anaerobic digestion process. The complete-mix, pilot-scale digester with working volume of 70 l was used. The experimental protocol was defined to examine the effect of the change in the organic loading rate on the efficiency of the production of biogas and to report on its steady-state performance. The digester was operated at different organic feeding rates of 1.4, 2 and 2.75 kg VS/ (m3.d). The biogas produced had methane composition of 49.7- 64% and biogas production rates of 0.12-0.4 m3 biogas/(kg VS input). The reactor showed stable performance with highest methane and yield (0.25 m3CH4/kg VS) with VS reduction of around 88% during loading rate of 1.4 kg VS/(m3.d). As the organic loading rate was increased, the VS degradation and biogas yield decreased. Based on data from this study, OLR of 1.4 kg VS/(m3.d) is suggested as design criteria with methane production rate of 0.25 m3CH4/kg VS input and successful implementation of anaerobic digestion as the method of waste treatment leads to the regional utilization of renewable energy resources, energy requirements and costs.","author":[{"dropping-particle":"","family":"Babaee","given":"Azadeh","non-dropping-particle":"","parse-names":false,"suffix":""},{"dropping-particle":"","family":"Shayegan","given":"Jalal","non-dropping-particle":"","parse-names":false,"suffix":""}],"id":"ITEM-1","issued":{"date-parts":[["2011"]]},"page":"411-417","title":"Effect of Organic Loading Rates (OLR) on Production of Methane from Anaerobic Digestion of Vegetables Waste","type":"article-journal"},"uris":["http://www.mendeley.com/documents/?uuid=50aeefb4-2cf3-40c4-9c57-aee00cbb6b6d"]}],"mendeley":{"formattedCitation":"(Babaee y Shayegan 2011)","plainTextFormattedCitation":"(Babaee y Shayegan 2011)","previouslyFormattedCitation":"(Babaee y Shayegan 2011)"},"properties":{"noteIndex":0},"schema":"https://github.com/citation-style-language/schema/raw/master/csl-citation.json"}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(Babaee y Shayegan 2011)</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Los microorganismos acidogénicos son menos sensibles al pH y toleran un rango de pH de 4.0-8.5. Sin embargo, el pH óptimo para la hidrolisis y acidogénesis está entre 5.5 y 6.5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{"citationItems":[{"id":"ITEM-1","itemData":{"DOI":"10.1134/S0026261714050142","ISBN":"0026261714050","ISSN":"0026-2617","abstract":"Methane production via anaerobic degradation of organic-contaminated wastewater, semiliquid, or solid municipal waste of complex composition by methanogenic microbial communities is a multistage process involving at least four groups of microorganisms. These are hydrolytic bacteria (polysaccharolytic, proteolytic, and lipolytic), fermentative bacteria, acetogenic bacteria (syntrophic, proton-reducing), and methanogenic archaea; complex trophic interactions exist between these groups. The review provides information concerning the diversity of the major microbial groups identified in the systems for wastewater and concentrated waste treatment, solid-phase anaerobic fermentation, and landfills for disposal of municipal solid waste, and also specifies the sources of isolation of the type strains. The research demonstrates that both new microorganisms and those previously isolated from natural habitats may be found in waste treatment systems. High microbial diversity in the systems for organic waste treatment provides for stable methanogenesis under fluctuating environmental conditions. © 2014, Pleiades Publishing, Ltd.","author":[{"dropping-particle":"","family":"Kallistova","given":"A. Yu.","non-dropping-particle":"","parse-names":false,"suffix":""},{"dropping-particle":"","family":"Goel","given":"G.","non-dropping-particle":"","parse-names":false,"suffix":""},{"dropping-particle":"","family":"Nozhevnikova","given":"A. N.","non-dropping-particle":"","parse-names":false,"suffix":""}],"container-title":"Microbiology","id":"ITEM-1","issue":"5","issued":{"date-parts":[["2014"]]},"page":"462-483","title":"Microbial diversity of methanogenic communities in the systems for anaerobic treatment of organic waste","type":"article-journal","volume":"83"},"uris":["http://www.mendeley.com/documents/?uuid=090689ef-0610-4abf-8a54-13c6e1fdd81b"]}],"mendeley":{"formattedCitation":"(Kallistova et al. 2014)","plainTextFormattedCitation":"(Kallistova et al. 2014)","previouslyFormattedCitation":"(Kallistova et al. 2014)"},"properties":{"noteIndex":0},"schema":"https://github.com/citation-style-language/schema/raw/master/csl-citation.json"}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(Kallistova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2014)</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{"citationItems":[{"id":"ITEM-1","itemData":{"DOI":"10.1016/j.rser.2014.03.041","ISBN":"1364-0321","ISSN":"13640321","PMID":"23131652","abstract":"World's energy demand has been constantly increasing for decades. Yet, fossil fuels stock, which are used the most extensively nowadays, may be depleted soon. Moreover, combustion of conventional fuels leads to excessive carbon dioxide emission. This process causes multitude of unfavorable consequences for Earth's climate and biosphere. That is why the alternative fuel sources are searched and studied for years. One of the possibilities of obtaining renewable energy is biogas production from biomass through anaerobic digestion process. Anaerobic digestion is widely applied to treat various wastes and higher plants biomass. Laboratory-scale studies proved that microalgal biomass is also a feasible source of substrate for methane fermentation process. Microalgae are predominantly single cell photoautotrophic organisms that have the ability to proliferate rapidly and absorb significant amounts of carbon dioxide at the same time. This characteristics indicate that these microorganisms can be an efficient source of biomass for biogas acquiring. Current study constitutes a comprehensive review which compares and summarizes studies concerning anaerobic digestion of microalgal biomass, specific factors and potential inhibitors that influence the process as well as it presents results of empirical studies. This review is based on the latest publications as well as on older esteemed literature. © 2014 Elsevier Ltd.","author":[{"dropping-particle":"","family":"Kwietniewska","given":"Ewa","non-dropping-particle":"","parse-names":false,"suffix":""},{"dropping-particle":"","family":"Tys","given":"Jerzy","non-dropping-particle":"","parse-names":false,"suffix":""}],"container-title":"Renewable and Sustainable Energy Reviews","id":"ITEM-1","issued":{"date-parts":[["2014"]]},"page":"491-500","publisher":"Elsevier","title":"Process characteristics, inhibition factors and methane yields of anaerobic digestion process, with particular focus on microalgal biomass fermentation","type":"article-journal","volume":"34"},"uris":["http://www.mendeley.com/documents/?uuid=fbba0d27-1839-4272-83bc-f58e93595079"]}],"mendeley":{"formattedCitation":"(Kwietniewska y Tys 2014)","plainTextFormattedCitation":"(Kwietniewska y Tys 2014)","previouslyFormattedCitation":"(Kwietniewska y Tys 2014)"},"properties":{"noteIndex":0},"schema":"https://github.com/citation-style-language/schema/raw/master/csl-citation.json"}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(Kwietniewska y Tys 2014)</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p>
    <w:p w:rsidR="00DF46F4" w:rsidRPr="00686018" w:rsidRDefault="000F3347" w:rsidP="00A31608">
      <w:pPr>
        <w:jc w:val="center"/>
        <w:rPr>
          <w:rFonts w:ascii="Times New Roman" w:hAnsi="Times New Roman" w:cs="Times New Roman"/>
          <w:sz w:val="24"/>
          <w:szCs w:val="24"/>
        </w:rPr>
      </w:pPr>
      <w:r w:rsidRPr="000F3347">
        <w:rPr>
          <w:rFonts w:ascii="Times New Roman" w:hAnsi="Times New Roman" w:cs="Times New Roman"/>
          <w:noProof/>
          <w:sz w:val="24"/>
          <w:szCs w:val="24"/>
          <w:lang w:eastAsia="es-EC"/>
        </w:rPr>
        <w:lastRenderedPageBreak/>
        <w:drawing>
          <wp:inline distT="0" distB="0" distL="0" distR="0" wp14:anchorId="22D232C0" wp14:editId="74F1BE0C">
            <wp:extent cx="4986655" cy="2179955"/>
            <wp:effectExtent l="0" t="0" r="4445" b="0"/>
            <wp:docPr id="69" name="Imagen 69" descr="D:\Shäferhund\LateX folder\images\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häferhund\LateX folder\images\pH.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86655" cy="2179955"/>
                    </a:xfrm>
                    <a:prstGeom prst="rect">
                      <a:avLst/>
                    </a:prstGeom>
                    <a:noFill/>
                    <a:ln>
                      <a:noFill/>
                    </a:ln>
                  </pic:spPr>
                </pic:pic>
              </a:graphicData>
            </a:graphic>
          </wp:inline>
        </w:drawing>
      </w:r>
    </w:p>
    <w:p w:rsidR="00DF46F4" w:rsidRPr="00686018" w:rsidRDefault="00B639AA" w:rsidP="000F3347">
      <w:pPr>
        <w:pStyle w:val="Descripcin"/>
        <w:jc w:val="center"/>
        <w:rPr>
          <w:rFonts w:ascii="Times New Roman" w:hAnsi="Times New Roman" w:cs="Times New Roman"/>
          <w:i w:val="0"/>
          <w:color w:val="auto"/>
        </w:rPr>
      </w:pPr>
      <w:bookmarkStart w:id="83" w:name="_Toc9537872"/>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4</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294FB1" w:rsidRPr="00686018">
        <w:rPr>
          <w:rFonts w:ascii="Times New Roman" w:hAnsi="Times New Roman" w:cs="Times New Roman"/>
          <w:i w:val="0"/>
          <w:color w:val="auto"/>
        </w:rPr>
        <w:t xml:space="preserve"> Efecto del pH</w:t>
      </w:r>
      <w:r w:rsidR="00DF46F4" w:rsidRPr="00686018">
        <w:rPr>
          <w:rFonts w:ascii="Times New Roman" w:hAnsi="Times New Roman" w:cs="Times New Roman"/>
          <w:i w:val="0"/>
          <w:color w:val="auto"/>
        </w:rPr>
        <w:t xml:space="preserve"> en la producción de biogás.</w:t>
      </w:r>
      <w:bookmarkEnd w:id="83"/>
    </w:p>
    <w:p w:rsidR="00DF46F4" w:rsidRPr="00686018" w:rsidRDefault="00DF46F4" w:rsidP="000F3347">
      <w:pPr>
        <w:spacing w:before="360" w:after="360"/>
        <w:jc w:val="center"/>
        <w:rPr>
          <w:rFonts w:ascii="Times New Roman" w:hAnsi="Times New Roman" w:cs="Times New Roman"/>
          <w:sz w:val="20"/>
          <w:szCs w:val="24"/>
        </w:rPr>
      </w:pPr>
      <w:r w:rsidRPr="00686018">
        <w:rPr>
          <w:rFonts w:ascii="Times New Roman" w:hAnsi="Times New Roman" w:cs="Times New Roman"/>
          <w:b/>
          <w:sz w:val="18"/>
          <w:szCs w:val="24"/>
        </w:rPr>
        <w:t>Fuente:</w:t>
      </w:r>
      <w:r w:rsidRPr="00686018">
        <w:rPr>
          <w:rFonts w:ascii="Times New Roman" w:hAnsi="Times New Roman" w:cs="Times New Roman"/>
          <w:sz w:val="18"/>
          <w:szCs w:val="24"/>
        </w:rPr>
        <w:t xml:space="preserve"> </w:t>
      </w:r>
      <w:r w:rsidR="006D64AB" w:rsidRPr="00686018">
        <w:rPr>
          <w:rFonts w:ascii="Times New Roman" w:hAnsi="Times New Roman" w:cs="Times New Roman"/>
          <w:sz w:val="18"/>
          <w:szCs w:val="24"/>
        </w:rPr>
        <w:t xml:space="preserve">Tomado de </w:t>
      </w:r>
      <w:r w:rsidRPr="00686018">
        <w:rPr>
          <w:rFonts w:ascii="Times New Roman" w:hAnsi="Times New Roman" w:cs="Times New Roman"/>
          <w:sz w:val="18"/>
          <w:szCs w:val="24"/>
        </w:rPr>
        <w:fldChar w:fldCharType="begin" w:fldLock="1"/>
      </w:r>
      <w:r w:rsidRPr="00686018">
        <w:rPr>
          <w:rFonts w:ascii="Times New Roman" w:hAnsi="Times New Roman" w:cs="Times New Roman"/>
          <w:sz w:val="18"/>
          <w:szCs w:val="24"/>
        </w:rPr>
        <w:instrText>ADDIN CSL_CITATION {"citationItems":[{"id":"ITEM-1","itemData":{"DOI":"10.3384/ecp11057411","ISBN":"0197-6664 (Print) 0197-6664 (Linking)","ISSN":"00115266","PMID":"23729949","abstract":"In this study, experiments were conducted to investigate the production of biogas from vegetable wastes by using anaerobic digestion process. The complete-mix, pilot-scale digester with working volume of 70 l was used. The experimental protocol was defined to examine the effect of the change in the organic loading rate on the efficiency of the production of biogas and to report on its steady-state performance. The digester was operated at different organic feeding rates of 1.4, 2 and 2.75 kg VS/ (m3.d). The biogas produced had methane composition of 49.7- 64% and biogas production rates of 0.12-0.4 m3 biogas/(kg VS input). The reactor showed stable performance with highest methane and yield (0.25 m3CH4/kg VS) with VS reduction of around 88% during loading rate of 1.4 kg VS/(m3.d). As the organic loading rate was increased, the VS degradation and biogas yield decreased. Based on data from this study, OLR of 1.4 kg VS/(m3.d) is suggested as design criteria with methane production rate of 0.25 m3CH4/kg VS input and successful implementation of anaerobic digestion as the method of waste treatment leads to the regional utilization of renewable energy resources, energy requirements and costs.","author":[{"dropping-particle":"","family":"Babaee","given":"Azadeh","non-dropping-particle":"","parse-names":false,"suffix":""},{"dropping-particle":"","family":"Shayegan","given":"Jalal","non-dropping-particle":"","parse-names":false,"suffix":""}],"id":"ITEM-1","issued":{"date-parts":[["2011"]]},"page":"411-417","title":"Effect of Organic Loading Rates (OLR) on Production of Methane from Anaerobic Digestion of Vegetables Waste","type":"article-journal"},"uris":["http://www.mendeley.com/documents/?uuid=50aeefb4-2cf3-40c4-9c57-aee00cbb6b6d"]}],"mendeley":{"formattedCitation":"(Babaee y Shayegan 2011)","plainTextFormattedCitation":"(Babaee y Shayegan 2011)","previouslyFormattedCitation":"(Babaee y Shayegan 2011)"},"properties":{"noteIndex":0},"schema":"https://github.com/citation-style-language/schema/raw/master/csl-citation.json"}</w:instrText>
      </w:r>
      <w:r w:rsidRPr="00686018">
        <w:rPr>
          <w:rFonts w:ascii="Times New Roman" w:hAnsi="Times New Roman" w:cs="Times New Roman"/>
          <w:sz w:val="18"/>
          <w:szCs w:val="24"/>
        </w:rPr>
        <w:fldChar w:fldCharType="separate"/>
      </w:r>
      <w:r w:rsidRPr="00686018">
        <w:rPr>
          <w:rFonts w:ascii="Times New Roman" w:hAnsi="Times New Roman" w:cs="Times New Roman"/>
          <w:noProof/>
          <w:sz w:val="18"/>
          <w:szCs w:val="24"/>
        </w:rPr>
        <w:t>(Babaee y Shayegan 2011)</w:t>
      </w:r>
      <w:r w:rsidRPr="00686018">
        <w:rPr>
          <w:rFonts w:ascii="Times New Roman" w:hAnsi="Times New Roman" w:cs="Times New Roman"/>
          <w:sz w:val="18"/>
          <w:szCs w:val="24"/>
        </w:rPr>
        <w:fldChar w:fldCharType="end"/>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La acidificación del medio es resultado de la presencia y acumulación de AGV en todas las etapas iniciales de la digestión. En procesos con altas concentraciones de 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xml:space="preserve"> en fase gaseosa, el pH también se ve afectado en gran medida. El 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xml:space="preserve"> es muy polar y su solubilidad aumenta en el medio y provoca la acidificación del medio debido a la formación de H</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CO</w:t>
      </w:r>
      <w:r w:rsidRPr="00686018">
        <w:rPr>
          <w:rFonts w:ascii="Times New Roman" w:hAnsi="Times New Roman" w:cs="Times New Roman"/>
          <w:sz w:val="24"/>
          <w:szCs w:val="24"/>
          <w:vertAlign w:val="subscript"/>
        </w:rPr>
        <w:t>3</w:t>
      </w:r>
      <w:r w:rsidRPr="00686018">
        <w:rPr>
          <w:rFonts w:ascii="Times New Roman" w:hAnsi="Times New Roman" w:cs="Times New Roman"/>
          <w:sz w:val="24"/>
          <w:szCs w:val="24"/>
        </w:rPr>
        <w:t>, el cual reduce el pH, afectando la actividad de las enzimas por cambios en su estructura proteínica.</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Generalmente, el valor del pH indica la salud del medioambiente para los microorganismos en el digestor</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10.1063/1.4918281","ISSN":"19417012","author":[{"dropping-particle":"","family":"Dai","given":"Benlin","non-dropping-particle":"","parse-names":false,"suffix":""},{"dropping-particle":"","family":"Xu","given":"Jiming","non-dropping-particle":"","parse-names":false,"suffix":""},{"dropping-particle":"","family":"He","given":"Yulong","non-dropping-particle":"","parse-names":false,"suffix":""},{"dropping-particle":"","family":"Xiong","given":"Peng","non-dropping-particle":"","parse-names":false,"suffix":""},{"dropping-particle":"","family":"Wang","given":"Xinfeng","non-dropping-particle":"","parse-names":false,"suffix":""},{"dropping-particle":"","family":"Deng","given":"Yuanfang","non-dropping-particle":"","parse-names":false,"suffix":""},{"dropping-particle":"","family":"Wang","given":"Yixian","non-dropping-particle":"","parse-names":false,"suffix":""},{"dropping-particle":"","family":"Yin","given":"Zhiming","non-dropping-particle":"","parse-names":false,"suffix":""}],"container-title":"Journal of Renewable and Sustainable Energy","id":"ITEM-1","issue":"2","issued":{"date-parts":[["2015"]]},"page":"1-10","title":"Acid inhibition during anaerobic digestion of biodegradable kitchen waste","type":"article-journal","volume":"7"},"uris":["http://www.mendeley.com/documents/?uuid=938d1aff-84cd-4253-a3ee-6cf576c971c3"]}],"mendeley":{"formattedCitation":"(Dai et al. 2015)","plainTextFormattedCitation":"(Dai et al. 2015)","previouslyFormattedCitation":"(Dai et al. 2015)"},"properties":{"noteIndex":0},"schema":"https://github.com/citation-style-language/schema/raw/master/csl-citation.json"}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(Dai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2015)</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84" w:name="_Toc535410450"/>
      <w:bookmarkStart w:id="85" w:name="_Toc9537790"/>
      <w:r w:rsidRPr="00686018">
        <w:rPr>
          <w:rFonts w:ascii="Times New Roman" w:hAnsi="Times New Roman" w:cs="Times New Roman"/>
          <w:i w:val="0"/>
        </w:rPr>
        <w:t>Tasa de carga orgánica</w:t>
      </w:r>
      <w:bookmarkEnd w:id="84"/>
      <w:bookmarkEnd w:id="85"/>
      <w:r w:rsidRPr="00686018">
        <w:rPr>
          <w:rFonts w:ascii="Times New Roman" w:hAnsi="Times New Roman" w:cs="Times New Roman"/>
          <w:i w:val="0"/>
        </w:rPr>
        <w:t xml:space="preserve"> </w:t>
      </w:r>
    </w:p>
    <w:p w:rsidR="00DF46F4" w:rsidRPr="00686018" w:rsidRDefault="00DF46F4" w:rsidP="00A31608">
      <w:pPr>
        <w:jc w:val="both"/>
        <w:rPr>
          <w:rFonts w:ascii="Times New Roman" w:hAnsi="Times New Roman" w:cs="Times New Roman"/>
          <w:color w:val="FF0000"/>
          <w:sz w:val="24"/>
          <w:szCs w:val="24"/>
        </w:rPr>
      </w:pPr>
      <w:r w:rsidRPr="00686018">
        <w:rPr>
          <w:rFonts w:ascii="Times New Roman" w:hAnsi="Times New Roman" w:cs="Times New Roman"/>
          <w:sz w:val="24"/>
          <w:szCs w:val="24"/>
        </w:rPr>
        <w:t xml:space="preserve">La tasa de carga orgánica (TCO) muestra la cantidad de sólidos orgánicos secos que se cargan por volumen del sistema por tiempo. TCO es un factor importante para la viabilidad de los microorganismos y su actividad óptima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{"citationItems":[{"id":"ITEM-1","itemData":{"DOI":"10.1016/j.rser.2017.05.137","ISBN":"1364-0321","ISSN":"18790690","abstract":"Anaerobic digestion is a versatile biotechnology for conversion of organic wastes to valuable biogas. Anaerobic digestion of manure is making the most of it, as the process allows simultaneous bio-energy generation, production of nutrient rich soil amendment, reduced emission of greenhouse gases and odor control; it is thus in line with climate friendly farming practices. Despite the enumerated advantages, the potential of manure for biogas production is not fully utilized due to the low and imbalance carbon to nitrogen (C/N) ratio in animal manures. To satisfy the anaerobic digestion requirements and to compensate the carbon deficiency of manure, there should be another carbon-rich substrate to be co-digested with manure to improve its characteristics for anaerobic digestion; lignocellulosic biomass residues seem promising for this purpose. This work presents a review on anaerobic co-digestion of animal manure and lignocellulosic feedstock for biogas production. Several research studies conducted on co-digestion of these organic wastes are described and reviewed. The impact of numerous parameters including temperature, pH, organic loading rate (OLR), hydraulic retention time (HRT), C/N ratio, alkalinity and concentration of volatile fatty acids (VFAs) on the performance and stability of the co-digestion process is extensively discussed. The influence of various pretreatment methods including physical, chemical and biological pretreatments on providing well-prepared substrate for anaerobic co-digestion and thus enhancement of biogas production is discussed. An overview of the most significant factors and intermediates which can inhibit or even cease the process is also presented.","author":[{"dropping-particle":"","family":"Neshat","given":"Soheil A.","non-dropping-particle":"","parse-names":false,"suffix":""},{"dropping-particle":"","family":"Mohammadi","given":"Maedeh","non-dropping-particle":"","parse-names":false,"suffix":""},{"dropping-particle":"","family":"Najafpour","given":"Ghasem D.","non-dropping-particle":"","parse-names":false,"suffix":""},{"dropping-particle":"","family":"Lahijani","given":"Pooya","non-dropping-particle":"","parse-names":false,"suffix":""}],"container-title":"Renewable and Sustainable Energy Reviews","id":"ITEM-1","issue":"July 2016","issued":{"date-parts":[["2017"]]},"page":"308-322","publisher":"Elsevier Ltd","title":"Anaerobic co-digestion of animal manures and lignocellulosic residues as a potent approach for sustainable biogas production","type":"article-journal","volume":"79"},"uris":["http://www.mendeley.com/documents/?uuid=a4690050-021f-4c2e-811f-2b295215c0d7"]}],"mendeley":{"formattedCitation":"(Neshat et al. 2017)","plainTextFormattedCitation":"(Neshat et al. 2017)","previouslyFormattedCitation":"(Neshat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(Neshat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El aumento de TCO afecta directamente la formación de AGV (</w:t>
      </w:r>
      <w:r w:rsidRPr="00686018">
        <w:rPr>
          <w:rFonts w:ascii="Times New Roman" w:hAnsi="Times New Roman" w:cs="Times New Roman"/>
          <w:b/>
          <w:sz w:val="24"/>
          <w:szCs w:val="24"/>
        </w:rPr>
        <w:t>Figura 5</w:t>
      </w:r>
      <w:r w:rsidRPr="00686018">
        <w:rPr>
          <w:rFonts w:ascii="Times New Roman" w:hAnsi="Times New Roman" w:cs="Times New Roman"/>
          <w:sz w:val="24"/>
          <w:szCs w:val="24"/>
        </w:rPr>
        <w:t xml:space="preserve">); la acumulación de AGV en el medio acabará eventualmente con la inactivación de todas las bacterias debido al bajo pH. </w:t>
      </w:r>
    </w:p>
    <w:p w:rsidR="00DF46F4" w:rsidRPr="00686018" w:rsidRDefault="00C46AA1" w:rsidP="000F3347">
      <w:pPr>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lastRenderedPageBreak/>
        <w:drawing>
          <wp:inline distT="0" distB="0" distL="0" distR="0" wp14:anchorId="7914CB71" wp14:editId="2DCD9C46">
            <wp:extent cx="3766457" cy="3159725"/>
            <wp:effectExtent l="0" t="0" r="5715" b="3175"/>
            <wp:docPr id="41" name="Imagen 41" descr="D:\Shäferhund\LateX folder\images\tc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häferhund\LateX folder\images\tco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3352" cy="3165509"/>
                    </a:xfrm>
                    <a:prstGeom prst="rect">
                      <a:avLst/>
                    </a:prstGeom>
                    <a:noFill/>
                    <a:ln>
                      <a:noFill/>
                    </a:ln>
                  </pic:spPr>
                </pic:pic>
              </a:graphicData>
            </a:graphic>
          </wp:inline>
        </w:drawing>
      </w:r>
    </w:p>
    <w:p w:rsidR="00DF46F4" w:rsidRPr="00686018" w:rsidRDefault="00B639AA" w:rsidP="000F3347">
      <w:pPr>
        <w:pStyle w:val="Descripcin"/>
        <w:jc w:val="center"/>
        <w:rPr>
          <w:rFonts w:ascii="Times New Roman" w:hAnsi="Times New Roman" w:cs="Times New Roman"/>
          <w:i w:val="0"/>
          <w:color w:val="auto"/>
        </w:rPr>
      </w:pPr>
      <w:bookmarkStart w:id="86" w:name="_Toc9537873"/>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5</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Efecto de TCO en la formación de AGV.</w:t>
      </w:r>
      <w:bookmarkEnd w:id="86"/>
    </w:p>
    <w:p w:rsidR="00DF46F4" w:rsidRPr="00686018" w:rsidRDefault="00DF46F4" w:rsidP="000F3347">
      <w:pPr>
        <w:pStyle w:val="Descripcin"/>
        <w:jc w:val="center"/>
        <w:rPr>
          <w:rFonts w:ascii="Times New Roman" w:hAnsi="Times New Roman" w:cs="Times New Roman"/>
          <w:i w:val="0"/>
          <w:color w:val="FF0000"/>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 xml:space="preserve">Tomado de </w:t>
      </w:r>
      <w:r w:rsidRPr="00686018">
        <w:rPr>
          <w:rFonts w:ascii="Times New Roman" w:hAnsi="Times New Roman" w:cs="Times New Roman"/>
          <w:i w:val="0"/>
          <w:color w:val="auto"/>
          <w:szCs w:val="24"/>
        </w:rPr>
        <w:fldChar w:fldCharType="begin" w:fldLock="1"/>
      </w:r>
      <w:r w:rsidRPr="00686018">
        <w:rPr>
          <w:rFonts w:ascii="Times New Roman" w:hAnsi="Times New Roman" w:cs="Times New Roman"/>
          <w:i w:val="0"/>
          <w:color w:val="auto"/>
          <w:szCs w:val="24"/>
        </w:rPr>
        <w:instrText>ADDIN CSL_CITATION {"citationItems":[{"id":"ITEM-1","itemData":{"DOI":"10.1016/j.biortech.2017.11.037","ISSN":"18732976","abstract":"In this study, rice straw (RS) and pig manure (PM) mixtures with or without bio-pretreatment were used as the substrates and digested in a 9 L of anaerobic reactor at Organic loading rates (OLRs) of 0.4–3.1 kg COD/(m3d). The volumetric methane production rate (VMPR), methane yield and anaerobic stability were comparatively investigated. The results showed the co-anaerobic digestion processes of RS and PM mixture after biological pretreatment were very stable at OLRs of 0.4–2.5 kg COD/(m3d), and its optimal VMPR and methane yield could reach 0.64 L CH4/(L d) and 0.4557 L CH4/g CODremovedat OLR of 2.5 kg COD/(m3d), which were 62.4% and 37.8% higher than those of the control under the same OLR condition. This study indicated the biological pretreatment with a cellulolytic microbial consortium own great potential in improving the methane yield and productivity of RS and PM wastes.","author":[{"dropping-particle":"","family":"Shen","given":"Fei","non-dropping-particle":"","parse-names":false,"suffix":""},{"dropping-particle":"","family":"Li","given":"Hanguang","non-dropping-particle":"","parse-names":false,"suffix":""},{"dropping-particle":"","family":"Wu","given":"Xiaoyu","non-dropping-particle":"","parse-names":false,"suffix":""},{"dropping-particle":"","family":"Wang","given":"Yuanxiu","non-dropping-particle":"","parse-names":false,"suffix":""},{"dropping-particle":"","family":"Zhang","given":"Qinghua","non-dropping-particle":"","parse-names":false,"suffix":""}],"container-title":"Bioresource Technology","id":"ITEM-1","issued":{"date-parts":[["2018"]]},"page":"155-162","title":"Effect of organic loading rate on anaerobic co-digestion of rice straw and pig manure with or without biological pretreatment","type":"article-journal","volume":"250"},"uris":["http://www.mendeley.com/documents/?uuid=85dde7be-51a1-4ecb-89c4-21817b06b71c"]}],"mendeley":{"formattedCitation":"(Shen et al. 2018)","plainTextFormattedCitation":"(Shen et al. 2018)","previouslyFormattedCitation":"(Shen et al. 2018)"},"properties":{"noteIndex":0},"schema":"https://github.com/citation-style-language/schema/raw/master/csl-citation.json"}</w:instrText>
      </w:r>
      <w:r w:rsidRPr="00686018">
        <w:rPr>
          <w:rFonts w:ascii="Times New Roman" w:hAnsi="Times New Roman" w:cs="Times New Roman"/>
          <w:i w:val="0"/>
          <w:color w:val="auto"/>
          <w:szCs w:val="24"/>
        </w:rPr>
        <w:fldChar w:fldCharType="separate"/>
      </w:r>
      <w:r w:rsidRPr="00686018">
        <w:rPr>
          <w:rFonts w:ascii="Times New Roman" w:hAnsi="Times New Roman" w:cs="Times New Roman"/>
          <w:i w:val="0"/>
          <w:noProof/>
          <w:color w:val="auto"/>
          <w:szCs w:val="24"/>
        </w:rPr>
        <w:t xml:space="preserve">(Shen </w:t>
      </w:r>
      <w:r w:rsidR="00C80D09">
        <w:rPr>
          <w:rFonts w:ascii="Times New Roman" w:hAnsi="Times New Roman" w:cs="Times New Roman"/>
          <w:i w:val="0"/>
          <w:noProof/>
          <w:color w:val="auto"/>
          <w:szCs w:val="24"/>
        </w:rPr>
        <w:t>et al.,</w:t>
      </w:r>
      <w:r w:rsidRPr="00686018">
        <w:rPr>
          <w:rFonts w:ascii="Times New Roman" w:hAnsi="Times New Roman" w:cs="Times New Roman"/>
          <w:i w:val="0"/>
          <w:noProof/>
          <w:color w:val="auto"/>
          <w:szCs w:val="24"/>
        </w:rPr>
        <w:t xml:space="preserve"> 2018)</w:t>
      </w:r>
      <w:r w:rsidRPr="00686018">
        <w:rPr>
          <w:rFonts w:ascii="Times New Roman" w:hAnsi="Times New Roman" w:cs="Times New Roman"/>
          <w:i w:val="0"/>
          <w:color w:val="auto"/>
          <w:szCs w:val="24"/>
        </w:rPr>
        <w:fldChar w:fldCharType="end"/>
      </w:r>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szCs w:val="24"/>
        </w:rPr>
        <w:t>La TCO tiene un efecto negativo en la producción de biogás. Al aumentar la TCO el rendimiento de biogás y metano disminuye debido a la inestabilidad del sistema por la reducción del pH, esto a su vez por la sobrecarga del sistema (</w:t>
      </w:r>
      <w:r w:rsidRPr="00686018">
        <w:rPr>
          <w:rFonts w:ascii="Times New Roman" w:hAnsi="Times New Roman" w:cs="Times New Roman"/>
          <w:b/>
          <w:sz w:val="24"/>
          <w:szCs w:val="24"/>
        </w:rPr>
        <w:t>Figura 6</w:t>
      </w:r>
      <w:r w:rsidRPr="00686018">
        <w:rPr>
          <w:rFonts w:ascii="Times New Roman" w:hAnsi="Times New Roman" w:cs="Times New Roman"/>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{"citationItems":[{"id":"ITEM-1","itemData":{"DOI":"10.3384/ecp11057411","ISBN":"0197-6664 (Print) 0197-6664 (Linking)","ISSN":"00115266","PMID":"23729949","abstract":"In this study, experiments were conducted to investigate the production of biogas from vegetable wastes by using anaerobic digestion process. The complete-mix, pilot-scale digester with working volume of 70 l was used. The experimental protocol was defined to examine the effect of the change in the organic loading rate on the efficiency of the production of biogas and to report on its steady-state performance. The digester was operated at different organic feeding rates of 1.4, 2 and 2.75 kg VS/ (m3.d). The biogas produced had methane composition of 49.7- 64% and biogas production rates of 0.12-0.4 m3 biogas/(kg VS input). The reactor showed stable performance with highest methane and yield (0.25 m3CH4/kg VS) with VS reduction of around 88% during loading rate of 1.4 kg VS/(m3.d). As the organic loading rate was increased, the VS degradation and biogas yield decreased. Based on data from this study, OLR of 1.4 kg VS/(m3.d) is suggested as design criteria with methane production rate of 0.25 m3CH4/kg VS input and successful implementation of anaerobic digestion as the method of waste treatment leads to the regional utilization of renewable energy resources, energy requirements and costs.","author":[{"dropping-particle":"","family":"Babaee","given":"Azadeh","non-dropping-particle":"","parse-names":false,"suffix":""},{"dropping-particle":"","family":"Shayegan","given":"Jalal","non-dropping-particle":"","parse-names":false,"suffix":""}],"id":"ITEM-1","issued":{"date-parts":[["2011"]]},"page":"411-417","title":"Effect of Organic Loading Rates (OLR) on Production of Methane from Anaerobic Digestion of Vegetables Waste","type":"article-journal"},"uris":["http://www.mendeley.com/documents/?uuid=50aeefb4-2cf3-40c4-9c57-aee00cbb6b6d"]}],"mendeley":{"formattedCitation":"(Babaee y Shayegan 2011)","plainTextFormattedCitation":"(Babaee y Shayegan 2011)","previouslyFormattedCitation":"(Babaee y Shayegan 2011)"},"properties":{"noteIndex":0},"schema":"https://github.com/citation-style-language/schema/raw/master/csl-citation.json"}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(Babaee y Shayegan 2011)</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Es recomendable añadir una cantidad total de SV de 20 a 60g SV/L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{"citationItems":[{"id":"ITEM-1","itemData":{"DOI":"10.2166/wst.2016.336","ISBN":"0273-1223","ISSN":"02731223","PMID":"27973356","abstract":"Production of biogas from different organic materials is a most interesting source of renewable energy. The biomethane potential (BMP) of these materials has to be determined to get insight in design parameters for anaerobic digesters. Although several norms and guidelines for BMP tests exist, inter-laboratory tests regularly still show high variability of BMPs for the same substrate. A workshop was held in June 2015, in Leysin, Switzerland, with over 40 attendees from 30 laboratories around the world, to agree on common solutions to the conundrum of inconsistent BMP test results. This paper presents the consensus of the intense roundtable discussions and cross-comparison of methodologies used in respective laboratories. Compulsory elements for the validation of BMP results were defined. They include the minimal number of replicates, the request to carry out blank and positive control assays, a criterion for the test duration, details on BMP calculation, and last but not least criteria for rejection of the BMP tests. Finally, recommendations on items that strongly influence the outcome of BMP tests such as inoculum characteristics, substrate preparation, test setup, and data analysis are presented to increase the probability of obtaining validated and reproducible results.","author":[{"dropping-particle":"","family":"Holliger","given":"Christof","non-dropping-particle":"","parse-names":false,"suffix":""},{"dropping-particle":"","family":"Alves","given":"Madalena","non-dropping-particle":"","parse-names":false,"suffix":""},{"dropping-particle":"","family":"Andrade","given":"Diana","non-dropping-particle":"","parse-names":false,"suffix":""},{"dropping-particle":"","family":"Angelidaki","given":"Irini","non-dropping-particle":"","parse-names":false,"suffix":""},{"dropping-particle":"","family":"Astals","given":"Sergi","non-dropping-particle":"","parse-names":false,"suffix":""},{"dropping-particle":"","family":"Baier","given":"Urs","non-dropping-particle":"","parse-names":false,"suffix":""},{"dropping-particle":"","family":"Bougrier","given":"Claire","non-dropping-particle":"","parse-names":false,"suffix":""},{"dropping-particle":"","family":"Buffière","given":"Pierre","non-dropping-particle":"","parse-names":false,"suffix":""},{"dropping-particle":"","family":"Carballa","given":"Marta","non-dropping-particle":"","parse-names":false,"suffix":""},{"dropping-particle":"","family":"Wilde","given":"Vinnie","non-dropping-particle":"De","parse-names":false,"suffix":""},{"dropping-particle":"","family":"Ebertseder","given":"Florian","non-dropping-particle":"","parse-names":false,"suffix":""},{"dropping-particle":"","family":"Fernández","given":"Belén","non-dropping-particle":"","parse-names":false,"suffix":""},{"dropping-particle":"","family":"Ficara","given":"Elena","non-dropping-particle":"","parse-names":false,"suffix":""},{"dropping-particle":"","family":"Fotidis","given":"Ioannis","non-dropping-particle":"","parse-names":false,"suffix":""},{"dropping-particle":"","family":"Frigon","given":"Jean Claude","non-dropping-particle":"","parse-names":false,"suffix":""},{"dropping-particle":"","family":"Laclos","given":"Hélène Fruteau","non-dropping-particle":"De","parse-names":false,"suffix":""},{"dropping-particle":"","family":"Ghasimi","given":"Dara S.M.","non-dropping-particle":"","parse-names":false,"suffix":""},{"dropping-particle":"","family":"Hack","given":"Gabrielle","non-dropping-particle":"","parse-names":false,"suffix":""},{"dropping-particle":"","family":"Hartel","given":"Mathias","non-dropping-particle":"","parse-names":false,"suffix":""},{"dropping-particle":"","family":"Heerenklage","given":"Joern","non-dropping-particle":"","parse-names":false,"suffix":""},{"dropping-particle":"","family":"Horvath","given":"Ilona Sarvari","non-dropping-particle":"","parse-names":false,"suffix":""},{"dropping-particle":"","family":"Jenicek","given":"Pavel","non-dropping-particle":"","parse-names":false,"suffix":""},{"dropping-particle":"","family":"Koch","given":"Konrad","non-dropping-particle":"","parse-names":false,"suffix":""},{"dropping-particle":"","family":"Krautwald","given":"Judith","non-dropping-particle":"","parse-names":false,"suffix":""},{"dropping-particle":"","family":"Lizasoain","given":"Javier","non-dropping-particle":"","parse-names":false,"suffix":""},{"dropping-particle":"","family":"Liu","given":"Jing","non-dropping-particle":"","parse-names":false,"suffix":""},{"dropping-particle":"","family":"Mosberger","given":"Lona","non-dropping-particle":"","parse-names":false,"suffix":""},{"dropping-particle":"","family":"Nistor","given":"Mihaela","non-dropping-particle":"","parse-names":false,"suffix":""},{"dropping-particle":"","family":"Oechsner","given":"Hans","non-dropping-particle":"","parse-names":false,"suffix":""},{"dropping-particle":"","family":"Oliveira","given":"João Vítor","non-dropping-particle":"","parse-names":false,"suffix":""},{"dropping-particle":"","family":"Paterson","given":"Mark","non-dropping-particle":"","parse-names":false,"suffix":""},{"dropping-particle":"","family":"Pauss","given":"André","non-dropping-particle":"","parse-names":false,"suffix":""},{"dropping-particle":"","family":"Pommier","given":"Sébastien","non-dropping-particle":"","parse-names":false,"suffix":""},{"dropping-particle":"","family":"Porqueddu","given":"Isabella","non-dropping-particle":"","parse-names":false,"suffix":""},{"dropping-particle":"","family":"Raposo","given":"Francisco","non-dropping-particle":"","parse-names":false,"suffix":""},{"dropping-particle":"","family":"Ribeiro","given":"Thierry","non-dropping-particle":"","parse-names":false,"suffix":""},{"dropping-particle":"","family":"Pfund","given":"Florian Rüsch","non-dropping-particle":"","parse-names":false,"suffix":""},{"dropping-particle":"","family":"Strömberg","given":"Sten","non-dropping-particle":"","parse-names":false,"suffix":""},{"dropping-particle":"","family":"Torrijos","given":"Michel","non-dropping-particle":"","parse-names":false,"suffix":""},{"dropping-particle":"","family":"Eekert","given":"Miriam","non-dropping-particle":"Van","parse-names":false,"suffix":""},{"dropping-particle":"","family":"Lier","given":"Jules","non-dropping-particle":"Van","parse-names":false,"suffix":""},{"dropping-particle":"","family":"Wedwitschka","given":"Harald","non-dropping-particle":"","parse-names":false,"suffix":""},{"dropping-particle":"","family":"Wierinck","given":"Isabella","non-dropping-particle":"","parse-names":false,"suffix":""}],"container-title":"Water Science and Technology","id":"ITEM-1","issue":"11","issued":{"date-parts":[["2016"]]},"page":"2515-2522","title":"Towards a standardization of biomethane potential tests","type":"article-journal","volume":"74"},"uris":["http://www.mendeley.com/documents/?uuid=827460ac-1b2e-42c4-9b2d-ac12c36e7499"]}],"mendeley":{"formattedCitation":"(Holliger et al. 2016)","plainTextFormattedCitation":"(Holliger et al. 2016)","previouslyFormattedCitation":"(Holliger et al. 2016)"},"properties":{"noteIndex":0},"schema":"https://github.com/citation-style-language/schema/raw/master/csl-citation.json"}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(Holliger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2016)</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w:t>
      </w:r>
    </w:p>
    <w:p w:rsidR="00DF46F4" w:rsidRPr="00686018" w:rsidRDefault="000F3347" w:rsidP="00891002">
      <w:pPr>
        <w:spacing w:before="360"/>
        <w:jc w:val="center"/>
        <w:rPr>
          <w:rFonts w:ascii="Times New Roman" w:hAnsi="Times New Roman" w:cs="Times New Roman"/>
          <w:sz w:val="24"/>
          <w:szCs w:val="24"/>
        </w:rPr>
      </w:pPr>
      <w:r w:rsidRPr="000F3347">
        <w:rPr>
          <w:rFonts w:ascii="Times New Roman" w:hAnsi="Times New Roman" w:cs="Times New Roman"/>
          <w:noProof/>
          <w:sz w:val="24"/>
          <w:szCs w:val="24"/>
          <w:lang w:eastAsia="es-EC"/>
        </w:rPr>
        <w:drawing>
          <wp:inline distT="0" distB="0" distL="0" distR="0" wp14:anchorId="43F0E466" wp14:editId="0B76F506">
            <wp:extent cx="4501210" cy="2562446"/>
            <wp:effectExtent l="0" t="0" r="0" b="9525"/>
            <wp:docPr id="70" name="Imagen 70" descr="D:\Shäferhund\LateX folder\images\tc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häferhund\LateX folder\images\tco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09834" cy="2567355"/>
                    </a:xfrm>
                    <a:prstGeom prst="rect">
                      <a:avLst/>
                    </a:prstGeom>
                    <a:noFill/>
                    <a:ln>
                      <a:noFill/>
                    </a:ln>
                  </pic:spPr>
                </pic:pic>
              </a:graphicData>
            </a:graphic>
          </wp:inline>
        </w:drawing>
      </w:r>
    </w:p>
    <w:p w:rsidR="00DF46F4" w:rsidRPr="00686018" w:rsidRDefault="00B639AA" w:rsidP="00B46DDC">
      <w:pPr>
        <w:pStyle w:val="Descripcin"/>
        <w:jc w:val="center"/>
        <w:rPr>
          <w:rFonts w:ascii="Times New Roman" w:hAnsi="Times New Roman" w:cs="Times New Roman"/>
          <w:i w:val="0"/>
          <w:color w:val="auto"/>
        </w:rPr>
      </w:pPr>
      <w:bookmarkStart w:id="87" w:name="_Toc9537874"/>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6</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Efecto de TCO en el rendimiento de biogás y concentración de metano.</w:t>
      </w:r>
      <w:bookmarkEnd w:id="87"/>
    </w:p>
    <w:p w:rsidR="00DF46F4" w:rsidRPr="00686018" w:rsidRDefault="00DF46F4" w:rsidP="00B46DDC">
      <w:pPr>
        <w:pStyle w:val="Descripcin"/>
        <w:jc w:val="center"/>
        <w:rPr>
          <w:rFonts w:ascii="Times New Roman" w:hAnsi="Times New Roman" w:cs="Times New Roman"/>
          <w:i w:val="0"/>
          <w:color w:val="FF0000"/>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 xml:space="preserve">Tomado de </w:t>
      </w:r>
      <w:r w:rsidRPr="00686018">
        <w:rPr>
          <w:rFonts w:ascii="Times New Roman" w:hAnsi="Times New Roman" w:cs="Times New Roman"/>
          <w:i w:val="0"/>
          <w:color w:val="auto"/>
          <w:szCs w:val="24"/>
        </w:rPr>
        <w:fldChar w:fldCharType="begin" w:fldLock="1"/>
      </w:r>
      <w:r w:rsidRPr="00686018">
        <w:rPr>
          <w:rFonts w:ascii="Times New Roman" w:hAnsi="Times New Roman" w:cs="Times New Roman"/>
          <w:i w:val="0"/>
          <w:color w:val="auto"/>
          <w:szCs w:val="24"/>
        </w:rPr>
        <w:instrText>ADDIN CSL_CITATION {"citationItems":[{"id":"ITEM-1","itemData":{"DOI":"10.3384/ecp11057411","ISBN":"0197-6664 (Print) 0197-6664 (Linking)","ISSN":"00115266","PMID":"23729949","abstract":"In this study, experiments were conducted to investigate the production of biogas from vegetable wastes by using anaerobic digestion process. The complete-mix, pilot-scale digester with working volume of 70 l was used. The experimental protocol was defined to examine the effect of the change in the organic loading rate on the efficiency of the production of biogas and to report on its steady-state performance. The digester was operated at different organic feeding rates of 1.4, 2 and 2.75 kg VS/ (m3.d). The biogas produced had methane composition of 49.7- 64% and biogas production rates of 0.12-0.4 m3 biogas/(kg VS input). The reactor showed stable performance with highest methane and yield (0.25 m3CH4/kg VS) with VS reduction of around 88% during loading rate of 1.4 kg VS/(m3.d). As the organic loading rate was increased, the VS degradation and biogas yield decreased. Based on data from this study, OLR of 1.4 kg VS/(m3.d) is suggested as design criteria with methane production rate of 0.25 m3CH4/kg VS input and successful implementation of anaerobic digestion as the method of waste treatment leads to the regional utilization of renewable energy resources, energy requirements and costs.","author":[{"dropping-particle":"","family":"Babaee","given":"Azadeh","non-dropping-particle":"","parse-names":false,"suffix":""},{"dropping-particle":"","family":"Shayegan","given":"Jalal","non-dropping-particle":"","parse-names":false,"suffix":""}],"id":"ITEM-1","issued":{"date-parts":[["2011"]]},"page":"411-417","title":"Effect of Organic Loading Rates (OLR) on Production of Methane from Anaerobic Digestion of Vegetables Waste","type":"article-journal"},"uris":["http://www.mendeley.com/documents/?uuid=50aeefb4-2cf3-40c4-9c57-aee00cbb6b6d"]}],"mendeley":{"formattedCitation":"(Babaee y Shayegan 2011)","plainTextFormattedCitation":"(Babaee y Shayegan 2011)","previouslyFormattedCitation":"(Babaee y Shayegan 2011)"},"properties":{"noteIndex":0},"schema":"https://github.com/citation-style-language/schema/raw/master/csl-citation.json"}</w:instrText>
      </w:r>
      <w:r w:rsidRPr="00686018">
        <w:rPr>
          <w:rFonts w:ascii="Times New Roman" w:hAnsi="Times New Roman" w:cs="Times New Roman"/>
          <w:i w:val="0"/>
          <w:color w:val="auto"/>
          <w:szCs w:val="24"/>
        </w:rPr>
        <w:fldChar w:fldCharType="separate"/>
      </w:r>
      <w:r w:rsidRPr="00686018">
        <w:rPr>
          <w:rFonts w:ascii="Times New Roman" w:hAnsi="Times New Roman" w:cs="Times New Roman"/>
          <w:i w:val="0"/>
          <w:noProof/>
          <w:color w:val="auto"/>
          <w:szCs w:val="24"/>
        </w:rPr>
        <w:t>(Babaee y Shayegan 2011)</w:t>
      </w:r>
      <w:r w:rsidRPr="00686018">
        <w:rPr>
          <w:rFonts w:ascii="Times New Roman" w:hAnsi="Times New Roman" w:cs="Times New Roman"/>
          <w:i w:val="0"/>
          <w:color w:val="auto"/>
          <w:szCs w:val="24"/>
        </w:rPr>
        <w:fldChar w:fldCharType="end"/>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88" w:name="_Toc535410451"/>
      <w:bookmarkStart w:id="89" w:name="_Toc9537791"/>
      <w:r w:rsidRPr="00686018">
        <w:rPr>
          <w:rFonts w:ascii="Times New Roman" w:hAnsi="Times New Roman" w:cs="Times New Roman"/>
          <w:i w:val="0"/>
        </w:rPr>
        <w:lastRenderedPageBreak/>
        <w:t>Tiempo de retención hidráulica</w:t>
      </w:r>
      <w:bookmarkEnd w:id="88"/>
      <w:bookmarkEnd w:id="89"/>
      <w:r w:rsidRPr="00686018">
        <w:rPr>
          <w:rFonts w:ascii="Times New Roman" w:hAnsi="Times New Roman" w:cs="Times New Roman"/>
          <w:i w:val="0"/>
        </w:rPr>
        <w:t xml:space="preserve">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El tiempo de retención hidráulica (TRH) es el tiempo requerido para degradar completamente la materia orgánica, y está relacionada con la tasa de crecimiento microbiano</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{"citationItems":[{"id":"ITEM-1","itemData":{"DOI":"10.1016/j.rser.2014.03.041","ISBN":"1364-0321","ISSN":"13640321","PMID":"23131652","abstract":"World's energy demand has been constantly increasing for decades. Yet, fossil fuels stock, which are used the most extensively nowadays, may be depleted soon. Moreover, combustion of conventional fuels leads to excessive carbon dioxide emission. This process causes multitude of unfavorable consequences for Earth's climate and biosphere. That is why the alternative fuel sources are searched and studied for years. One of the possibilities of obtaining renewable energy is biogas production from biomass through anaerobic digestion process. Anaerobic digestion is widely applied to treat various wastes and higher plants biomass. Laboratory-scale studies proved that microalgal biomass is also a feasible source of substrate for methane fermentation process. Microalgae are predominantly single cell photoautotrophic organisms that have the ability to proliferate rapidly and absorb significant amounts of carbon dioxide at the same time. This characteristics indicate that these microorganisms can be an efficient source of biomass for biogas acquiring. Current study constitutes a comprehensive review which compares and summarizes studies concerning anaerobic digestion of microalgal biomass, specific factors and potential inhibitors that influence the process as well as it presents results of empirical studies. This review is based on the latest publications as well as on older esteemed literature. © 2014 Elsevier Ltd.","author":[{"dropping-particle":"","family":"Kwietniewska","given":"Ewa","non-dropping-particle":"","parse-names":false,"suffix":""},{"dropping-particle":"","family":"Tys","given":"Jerzy","non-dropping-particle":"","parse-names":false,"suffix":""}],"container-title":"Renewable and Sustainable Energy Reviews","id":"ITEM-1","issued":{"date-parts":[["2014"]]},"page":"491-500","publisher":"Elsevier","title":"Process characteristics, inhibition factors and methane yields of anaerobic digestion process, with particular focus on microalgal biomass fermentation","type":"article-journal","volume":"34"},"uris":["http://www.mendeley.com/documents/?uuid=fbba0d27-1839-4272-83bc-f58e93595079"]}],"mendeley":{"formattedCitation":"(Kwietniewska y Tys 2014)","plainTextFormattedCitation":"(Kwietniewska y Tys 2014)","previouslyFormattedCitation":"(Kwietniewska y Tys 2014)"},"properties":{"noteIndex":0},"schema":"https://github.com/citation-style-language/schema/raw/master/csl-citation.json"}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(Kwietniewska y Tys</w:t>
      </w:r>
      <w:r w:rsidR="00C80D09">
        <w:rPr>
          <w:rFonts w:ascii="Times New Roman" w:hAnsi="Times New Roman" w:cs="Times New Roman"/>
          <w:noProof/>
          <w:sz w:val="24"/>
          <w:szCs w:val="24"/>
        </w:rPr>
        <w:t>,</w:t>
      </w:r>
      <w:r w:rsidRPr="00686018">
        <w:rPr>
          <w:rFonts w:ascii="Times New Roman" w:hAnsi="Times New Roman" w:cs="Times New Roman"/>
          <w:noProof/>
          <w:sz w:val="24"/>
          <w:szCs w:val="24"/>
        </w:rPr>
        <w:t xml:space="preserve"> 2014)</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En cualquier bioproceso, el TRH apropiado debe determinarse cuidadosamente ya que cualquier microorganismo necesita su tiempo específico para consumir su sustrato y sintetizar el producto</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{"citationItems":[{"id":"ITEM-1","itemData":{"DOI":"10.1016/j.rser.2017.05.137","ISBN":"1364-0321","ISSN":"18790690","abstract":"Anaerobic digestion is a versatile biotechnology for conversion of organic wastes to valuable biogas. Anaerobic digestion of manure is making the most of it, as the process allows simultaneous bio-energy generation, production of nutrient rich soil amendment, reduced emission of greenhouse gases and odor control; it is thus in line with climate friendly farming practices. Despite the enumerated advantages, the potential of manure for biogas production is not fully utilized due to the low and imbalance carbon to nitrogen (C/N) ratio in animal manures. To satisfy the anaerobic digestion requirements and to compensate the carbon deficiency of manure, there should be another carbon-rich substrate to be co-digested with manure to improve its characteristics for anaerobic digestion; lignocellulosic biomass residues seem promising for this purpose. This work presents a review on anaerobic co-digestion of animal manure and lignocellulosic feedstock for biogas production. Several research studies conducted on co-digestion of these organic wastes are described and reviewed. The impact of numerous parameters including temperature, pH, organic loading rate (OLR), hydraulic retention time (HRT), C/N ratio, alkalinity and concentration of volatile fatty acids (VFAs) on the performance and stability of the co-digestion process is extensively discussed. The influence of various pretreatment methods including physical, chemical and biological pretreatments on providing well-prepared substrate for anaerobic co-digestion and thus enhancement of biogas production is discussed. An overview of the most significant factors and intermediates which can inhibit or even cease the process is also presented.","author":[{"dropping-particle":"","family":"Neshat","given":"Soheil A.","non-dropping-particle":"","parse-names":false,"suffix":""},{"dropping-particle":"","family":"Mohammadi","given":"Maedeh","non-dropping-particle":"","parse-names":false,"suffix":""},{"dropping-particle":"","family":"Najafpour","given":"Ghasem D.","non-dropping-particle":"","parse-names":false,"suffix":""},{"dropping-particle":"","family":"Lahijani","given":"Pooya","non-dropping-particle":"","parse-names":false,"suffix":""}],"container-title":"Renewable and Sustainable Energy Reviews","id":"ITEM-1","issue":"July 2016","issued":{"date-parts":[["2017"]]},"page":"308-322","publisher":"Elsevier Ltd","title":"Anaerobic co-digestion of animal manures and lignocellulosic residues as a potent approach for sustainable biogas production","type":"article-journal","volume":"79"},"uris":["http://www.mendeley.com/documents/?uuid=a4690050-021f-4c2e-811f-2b295215c0d7"]}],"mendeley":{"formattedCitation":"(Neshat et al. 2017)","plainTextFormattedCitation":"(Neshat et al. 2017)","previouslyFormattedCitation":"(Neshat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(Neshat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El tiempo de digestión es uno de los factores principales influyentes en el rendimiento de metano, depende del tipo de sustrato y la carga orgánica</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{"citationItems":[{"id":"ITEM-1","itemData":{"DOI":"10.1016/j.rser.2014.03.041","ISBN":"1364-0321","ISSN":"13640321","PMID":"23131652","abstract":"World's energy demand has been constantly increasing for decades. Yet, fossil fuels stock, which are used the most extensively nowadays, may be depleted soon. Moreover, combustion of conventional fuels leads to excessive carbon dioxide emission. This process causes multitude of unfavorable consequences for Earth's climate and biosphere. That is why the alternative fuel sources are searched and studied for years. One of the possibilities of obtaining renewable energy is biogas production from biomass through anaerobic digestion process. Anaerobic digestion is widely applied to treat various wastes and higher plants biomass. Laboratory-scale studies proved that microalgal biomass is also a feasible source of substrate for methane fermentation process. Microalgae are predominantly single cell photoautotrophic organisms that have the ability to proliferate rapidly and absorb significant amounts of carbon dioxide at the same time. This characteristics indicate that these microorganisms can be an efficient source of biomass for biogas acquiring. Current study constitutes a comprehensive review which compares and summarizes studies concerning anaerobic digestion of microalgal biomass, specific factors and potential inhibitors that influence the process as well as it presents results of empirical studies. This review is based on the latest publications as well as on older esteemed literature. © 2014 Elsevier Ltd.","author":[{"dropping-particle":"","family":"Kwietniewska","given":"Ewa","non-dropping-particle":"","parse-names":false,"suffix":""},{"dropping-particle":"","family":"Tys","given":"Jerzy","non-dropping-particle":"","parse-names":false,"suffix":""}],"container-title":"Renewable and Sustainable Energy Reviews","id":"ITEM-1","issued":{"date-parts":[["2014"]]},"page":"491-500","publisher":"Elsevier","title":"Process characteristics, inhibition factors and methane yields of anaerobic digestion process, with particular focus on microalgal biomass fermentation","type":"article-journal","volume":"34"},"uris":["http://www.mendeley.com/documents/?uuid=fbba0d27-1839-4272-83bc-f58e93595079"]}],"mendeley":{"formattedCitation":"(Kwietniewska y Tys 2014)","plainTextFormattedCitation":"(Kwietniewska y Tys 2014)","previouslyFormattedCitation":"(Kwietniewska y Tys 2014)"},"properties":{"noteIndex":0},"schema":"https://github.com/citation-style-language/schema/raw/master/csl-citation.json"}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(Kwietniewska y Tys 2014)</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Al elevar la TCO se produce una disminución del TRH resultado de la acumulación de AGV</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{"citationItems":[{"id":"ITEM-1","itemData":{"DOI":"10.1016/j.rser.2014.03.041","ISBN":"1364-0321","ISSN":"13640321","PMID":"23131652","abstract":"World's energy demand has been constantly increasing for decades. Yet, fossil fuels stock, which are used the most extensively nowadays, may be depleted soon. Moreover, combustion of conventional fuels leads to excessive carbon dioxide emission. This process causes multitude of unfavorable consequences for Earth's climate and biosphere. That is why the alternative fuel sources are searched and studied for years. One of the possibilities of obtaining renewable energy is biogas production from biomass through anaerobic digestion process. Anaerobic digestion is widely applied to treat various wastes and higher plants biomass. Laboratory-scale studies proved that microalgal biomass is also a feasible source of substrate for methane fermentation process. Microalgae are predominantly single cell photoautotrophic organisms that have the ability to proliferate rapidly and absorb significant amounts of carbon dioxide at the same time. This characteristics indicate that these microorganisms can be an efficient source of biomass for biogas acquiring. Current study constitutes a comprehensive review which compares and summarizes studies concerning anaerobic digestion of microalgal biomass, specific factors and potential inhibitors that influence the process as well as it presents results of empirical studies. This review is based on the latest publications as well as on older esteemed literature. © 2014 Elsevier Ltd.","author":[{"dropping-particle":"","family":"Kwietniewska","given":"Ewa","non-dropping-particle":"","parse-names":false,"suffix":""},{"dropping-particle":"","family":"Tys","given":"Jerzy","non-dropping-particle":"","parse-names":false,"suffix":""}],"container-title":"Renewable and Sustainable Energy Reviews","id":"ITEM-1","issued":{"date-parts":[["2014"]]},"page":"491-500","publisher":"Elsevier","title":"Process characteristics, inhibition factors and methane yields of anaerobic digestion process, with particular focus on microalgal biomass fermentation","type":"article-journal","volume":"34"},"uris":["http://www.mendeley.com/documents/?uuid=fbba0d27-1839-4272-83bc-f58e93595079"]}],"mendeley":{"formattedCitation":"(Kwietniewska y Tys 2014)","plainTextFormattedCitation":"(Kwietniewska y Tys 2014)","previouslyFormattedCitation":"(Kwietniewska y Tys 2014)"},"properties":{"noteIndex":0},"schema":"https://github.com/citation-style-language/schema/raw/master/csl-citation.json"}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(Kwietniewska y Tys</w:t>
      </w:r>
      <w:r w:rsidR="00C80D09">
        <w:rPr>
          <w:rFonts w:ascii="Times New Roman" w:hAnsi="Times New Roman" w:cs="Times New Roman"/>
          <w:noProof/>
          <w:sz w:val="24"/>
          <w:szCs w:val="24"/>
        </w:rPr>
        <w:t>,</w:t>
      </w:r>
      <w:r w:rsidRPr="00686018">
        <w:rPr>
          <w:rFonts w:ascii="Times New Roman" w:hAnsi="Times New Roman" w:cs="Times New Roman"/>
          <w:noProof/>
          <w:sz w:val="24"/>
          <w:szCs w:val="24"/>
        </w:rPr>
        <w:t xml:space="preserve"> 2014)</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por el contrario, al disminuir la TCO el TRH se prolonga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{"citationItems":[{"id":"ITEM-1","itemData":{"DOI":"10.1016/j.biortech.2005.01.020","ISBN":"0960-8524 (Print)\\r0960-8524 (Linking)","ISSN":"09608524","PMID":"16051083","abstract":"We studied the effect of mode of mixing (biogas recirculation, impeller mixing, and slurry recirculation) and waste strength on the performance of laboratory scale digesters. The digesters were fed with 5% and 10% manure slurry, at a constant energy supply per unit volume (8 W/m3). The experiments were conducted in eight laboratory scale digesters, each having a working volume of 3.73 L, at a controlled temperature of 35 ± 2°C. Hydraulic retention time (HRT) was kept constant at 16.2 days, resulting in a total solids (TS) loading rate of 3.08 g/L d and 6.2 g/L d for 5% and 10% manure slurry feeds, respectively. Results showed that the unmixed and mixed digesters performed quite similarly when fed with 5% manure slurry and produced biogas at a rate of 0.84-0.94 L/L d with a methane yield of 0.26-0.31 L CH4/g volatile solids (VS) loaded. This was possibly because of the low solids concentration in the case of 5% manure slurry, where mixing created by the naturally produced gas might be sufficient to provide adequate mixing. However, the effect of mixing and the mode of mixing became prominent in the case of the digesters fed with thicker manure slurry (10%). Digesters fed with 10% manure slurry and mixed by slurry recirculation, impeller, and biogas recirculation produced approximately 29%, 22% and 15% more biogas than unmixed digester, respectively. Deposition of solids inside the digesters was not observed in the case of 5% manure slurry, but it became significant in the case of 10% manure slurry. Therefore, mixing issue becomes more critical with thicker manure slurry. © 2005 Elsevier Ltd. All rights reserved.","author":[{"dropping-particle":"","family":"Karim","given":"Khursheed","non-dropping-particle":"","parse-names":false,"suffix":""},{"dropping-particle":"","family":"Hoffmann","given":"Rebecca","non-dropping-particle":"","parse-names":false,"suffix":""},{"dropping-particle":"","family":"Klasson","given":"Thomas","non-dropping-particle":"","parse-names":false,"suffix":""},{"dropping-particle":"","family":"Al-Dahhan","given":"M. H.","non-dropping-particle":"","parse-names":false,"suffix":""}],"container-title":"Bioresource Technology","id":"ITEM-1","issue":"16","issued":{"date-parts":[["2005"]]},"page":"1771-1781","title":"Anaerobic digestion of animal waste: Waste strength versus impact of mixing","type":"article-journal","volume":"96"},"uris":["http://www.mendeley.com/documents/?uuid=99ab4926-80c0-4f41-aaa9-18a398cc8d8a"]}],"mendeley":{"formattedCitation":"(Karim et al. 2005)","plainTextFormattedCitation":"(Karim et al. 2005)","previouslyFormattedCitation":"(Karim et al. 2005)"},"properties":{"noteIndex":0},"schema":"https://github.com/citation-style-language/schema/raw/master/csl-citation.json"}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(Karim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2005)</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Cuando el TRH es corto, se incrementa la producción de biogás, mientras que el rendimiento de metano disminuye, indicando que los sólidos volátiles no fueron totalmente consumidos</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{"citationItems":[{"id":"ITEM-1","itemData":{"DOI":"10.1016/j.biortech.2005.01.020","ISBN":"0960-8524 (Print)\\r0960-8524 (Linking)","ISSN":"09608524","PMID":"16051083","abstract":"We studied the effect of mode of mixing (biogas recirculation, impeller mixing, and slurry recirculation) and waste strength on the performance of laboratory scale digesters. The digesters were fed with 5% and 10% manure slurry, at a constant energy supply per unit volume (8 W/m3). The experiments were conducted in eight laboratory scale digesters, each having a working volume of 3.73 L, at a controlled temperature of 35 ± 2°C. Hydraulic retention time (HRT) was kept constant at 16.2 days, resulting in a total solids (TS) loading rate of 3.08 g/L d and 6.2 g/L d for 5% and 10% manure slurry feeds, respectively. Results showed that the unmixed and mixed digesters performed quite similarly when fed with 5% manure slurry and produced biogas at a rate of 0.84-0.94 L/L d with a methane yield of 0.26-0.31 L CH4/g volatile solids (VS) loaded. This was possibly because of the low solids concentration in the case of 5% manure slurry, where mixing created by the naturally produced gas might be sufficient to provide adequate mixing. However, the effect of mixing and the mode of mixing became prominent in the case of the digesters fed with thicker manure slurry (10%). Digesters fed with 10% manure slurry and mixed by slurry recirculation, impeller, and biogas recirculation produced approximately 29%, 22% and 15% more biogas than unmixed digester, respectively. Deposition of solids inside the digesters was not observed in the case of 5% manure slurry, but it became significant in the case of 10% manure slurry. Therefore, mixing issue becomes more critical with thicker manure slurry. © 2005 Elsevier Ltd. All rights reserved.","author":[{"dropping-particle":"","family":"Karim","given":"Khursheed","non-dropping-particle":"","parse-names":false,"suffix":""},{"dropping-particle":"","family":"Hoffmann","given":"Rebecca","non-dropping-particle":"","parse-names":false,"suffix":""},{"dropping-particle":"","family":"Klasson","given":"Thomas","non-dropping-particle":"","parse-names":false,"suffix":""},{"dropping-particle":"","family":"Al-Dahhan","given":"M. H.","non-dropping-particle":"","parse-names":false,"suffix":""}],"container-title":"Bioresource Technology","id":"ITEM-1","issue":"16","issued":{"date-parts":[["2005"]]},"page":"1771-1781","title":"Anaerobic digestion of animal waste: Waste strength versus impact of mixing","type":"article-journal","volume":"96"},"uris":["http://www.mendeley.com/documents/?uuid=99ab4926-80c0-4f41-aaa9-18a398cc8d8a"]}],"mendeley":{"formattedCitation":"(Karim et al. 2005)","plainTextFormattedCitation":"(Karim et al. 2005)","previouslyFormattedCitation":"(Karim et al. 2005)"},"properties":{"noteIndex":0},"schema":"https://github.com/citation-style-language/schema/raw/master/csl-citation.json"}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(Karim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2005)</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90" w:name="_Toc535410452"/>
      <w:bookmarkStart w:id="91" w:name="_Toc9537792"/>
      <w:r w:rsidRPr="00686018">
        <w:rPr>
          <w:rFonts w:ascii="Times New Roman" w:hAnsi="Times New Roman" w:cs="Times New Roman"/>
          <w:i w:val="0"/>
        </w:rPr>
        <w:t>Razón de carbono a nitrógeno (C/N)</w:t>
      </w:r>
      <w:bookmarkEnd w:id="90"/>
      <w:bookmarkEnd w:id="91"/>
      <w:r w:rsidRPr="00686018">
        <w:rPr>
          <w:rFonts w:ascii="Times New Roman" w:hAnsi="Times New Roman" w:cs="Times New Roman"/>
          <w:i w:val="0"/>
        </w:rPr>
        <w:t xml:space="preserve">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Existe una cierta necesidad de carbono y nitrógeno para los microorganismos en cualquier entorno de crecimiento, así como para los sistemas de digestión anaeróbica. Los informes son diferentes para el rango óptimo de C/N; un valor en el rango de 15-35 ha sido reportado como la relación C/N óptima </w:t>
      </w:r>
      <w:sdt>
        <w:sdtPr>
          <w:rPr>
            <w:rFonts w:ascii="Times New Roman" w:hAnsi="Times New Roman" w:cs="Times New Roman"/>
            <w:sz w:val="24"/>
            <w:szCs w:val="24"/>
          </w:rPr>
          <w:id w:val="2126198920"/>
          <w:citation/>
        </w:sdtPr>
        <w:sdtEndPr/>
        <w:sdtContent>
          <w:r w:rsidRPr="00686018">
            <w:rPr>
              <w:rFonts w:ascii="Times New Roman" w:hAnsi="Times New Roman" w:cs="Times New Roman"/>
              <w:sz w:val="24"/>
              <w:szCs w:val="24"/>
            </w:rPr>
            <w:fldChar w:fldCharType="begin"/>
          </w:r>
          <w:r w:rsidRPr="00686018">
            <w:rPr>
              <w:rFonts w:ascii="Times New Roman" w:hAnsi="Times New Roman" w:cs="Times New Roman"/>
              <w:sz w:val="24"/>
              <w:szCs w:val="24"/>
            </w:rPr>
            <w:instrText xml:space="preserve"> CITATION Ris13 \l 12298 </w:instrText>
          </w:r>
          <w:r w:rsidRPr="00686018">
            <w:rPr>
              <w:rFonts w:ascii="Times New Roman" w:hAnsi="Times New Roman" w:cs="Times New Roman"/>
              <w:sz w:val="24"/>
              <w:szCs w:val="24"/>
            </w:rPr>
            <w:fldChar w:fldCharType="separate"/>
          </w:r>
          <w:r w:rsidR="00F737D9" w:rsidRPr="00686018">
            <w:rPr>
              <w:rFonts w:ascii="Times New Roman" w:hAnsi="Times New Roman" w:cs="Times New Roman"/>
              <w:noProof/>
              <w:sz w:val="24"/>
              <w:szCs w:val="24"/>
            </w:rPr>
            <w:t>(Risberg K 2013)</w:t>
          </w:r>
          <w:r w:rsidRPr="00686018">
            <w:rPr>
              <w:rFonts w:ascii="Times New Roman" w:hAnsi="Times New Roman" w:cs="Times New Roman"/>
              <w:sz w:val="24"/>
              <w:szCs w:val="24"/>
            </w:rPr>
            <w:fldChar w:fldCharType="end"/>
          </w:r>
        </w:sdtContent>
      </w:sdt>
      <w:r w:rsidRPr="00686018">
        <w:rPr>
          <w:rFonts w:ascii="Times New Roman" w:hAnsi="Times New Roman" w:cs="Times New Roman"/>
          <w:sz w:val="24"/>
          <w:szCs w:val="24"/>
        </w:rPr>
        <w:t xml:space="preserve">. La desviación de la relación C/N óptima afecta la producción de biogás. Las mayores relaciones C/N causan deficiencia de nitrógeno para el crecimiento microbiano y un menor rendimiento de producción de metano debido a la desactivación de los metanógenos junto con la posible falla de todo el proceso. Por el contrario, las menores relaciones C/N limitan el crecimiento microbiano debido a la escasez de carbono que puede conducir a la acumulación de amoníaco, nitrógeno y AGV en el digestor </w:t>
      </w:r>
      <w:sdt>
        <w:sdtPr>
          <w:rPr>
            <w:rFonts w:ascii="Times New Roman" w:hAnsi="Times New Roman" w:cs="Times New Roman"/>
            <w:color w:val="FF0000"/>
            <w:sz w:val="24"/>
            <w:szCs w:val="24"/>
          </w:rPr>
          <w:id w:val="-680357974"/>
          <w:citation/>
        </w:sdtPr>
        <w:sdtEndPr/>
        <w:sdtContent>
          <w:r w:rsidRPr="00C80D09">
            <w:rPr>
              <w:rFonts w:ascii="Times New Roman" w:hAnsi="Times New Roman" w:cs="Times New Roman"/>
              <w:color w:val="FF0000"/>
              <w:sz w:val="24"/>
              <w:szCs w:val="24"/>
            </w:rPr>
            <w:fldChar w:fldCharType="begin"/>
          </w:r>
          <w:r w:rsidRPr="00C80D09">
            <w:rPr>
              <w:rFonts w:ascii="Times New Roman" w:hAnsi="Times New Roman" w:cs="Times New Roman"/>
              <w:color w:val="FF0000"/>
              <w:sz w:val="24"/>
              <w:szCs w:val="24"/>
            </w:rPr>
            <w:instrText xml:space="preserve"> CITATION LiY11 \l 12298 </w:instrText>
          </w:r>
          <w:r w:rsidRPr="00C80D09">
            <w:rPr>
              <w:rFonts w:ascii="Times New Roman" w:hAnsi="Times New Roman" w:cs="Times New Roman"/>
              <w:color w:val="FF0000"/>
              <w:sz w:val="24"/>
              <w:szCs w:val="24"/>
            </w:rPr>
            <w:fldChar w:fldCharType="separate"/>
          </w:r>
          <w:r w:rsidR="00F737D9" w:rsidRPr="00C80D09">
            <w:rPr>
              <w:rFonts w:ascii="Times New Roman" w:hAnsi="Times New Roman" w:cs="Times New Roman"/>
              <w:noProof/>
              <w:color w:val="FF0000"/>
              <w:sz w:val="24"/>
              <w:szCs w:val="24"/>
            </w:rPr>
            <w:t>(Li Y 2011)</w:t>
          </w:r>
          <w:r w:rsidRPr="00C80D09">
            <w:rPr>
              <w:rFonts w:ascii="Times New Roman" w:hAnsi="Times New Roman" w:cs="Times New Roman"/>
              <w:color w:val="FF0000"/>
              <w:sz w:val="24"/>
              <w:szCs w:val="24"/>
            </w:rPr>
            <w:fldChar w:fldCharType="end"/>
          </w:r>
        </w:sdtContent>
      </w:sdt>
      <w:r w:rsidRPr="00C80D09">
        <w:rPr>
          <w:rFonts w:ascii="Times New Roman" w:hAnsi="Times New Roman" w:cs="Times New Roman"/>
          <w:color w:val="FF0000"/>
          <w:sz w:val="24"/>
          <w:szCs w:val="24"/>
        </w:rPr>
        <w:t xml:space="preserve">.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Para los experimentos en codigestión y como se mencionó antes, para la materia vegetal, la relación C/N es demasiado alta y su complicada estru</w:t>
      </w:r>
      <w:r w:rsidR="00C91303">
        <w:rPr>
          <w:rFonts w:ascii="Times New Roman" w:hAnsi="Times New Roman" w:cs="Times New Roman"/>
          <w:sz w:val="24"/>
          <w:szCs w:val="24"/>
        </w:rPr>
        <w:t>ctura lignocelulósica</w:t>
      </w:r>
      <w:r w:rsidRPr="00686018">
        <w:rPr>
          <w:rFonts w:ascii="Times New Roman" w:hAnsi="Times New Roman" w:cs="Times New Roman"/>
          <w:sz w:val="24"/>
          <w:szCs w:val="24"/>
        </w:rPr>
        <w:t xml:space="preserve"> los hace inapropiados para la producción de biogás </w:t>
      </w:r>
      <w:sdt>
        <w:sdtPr>
          <w:rPr>
            <w:rFonts w:ascii="Times New Roman" w:hAnsi="Times New Roman" w:cs="Times New Roman"/>
            <w:sz w:val="24"/>
            <w:szCs w:val="24"/>
          </w:rPr>
          <w:id w:val="2082945788"/>
          <w:citation/>
        </w:sdtPr>
        <w:sdtEndPr/>
        <w:sdtContent>
          <w:r w:rsidRPr="00686018">
            <w:rPr>
              <w:rFonts w:ascii="Times New Roman" w:hAnsi="Times New Roman" w:cs="Times New Roman"/>
              <w:sz w:val="24"/>
              <w:szCs w:val="24"/>
            </w:rPr>
            <w:fldChar w:fldCharType="begin"/>
          </w:r>
          <w:r w:rsidRPr="00686018">
            <w:rPr>
              <w:rFonts w:ascii="Times New Roman" w:hAnsi="Times New Roman" w:cs="Times New Roman"/>
              <w:sz w:val="24"/>
              <w:szCs w:val="24"/>
            </w:rPr>
            <w:instrText xml:space="preserve"> CITATION Ris13 \l 12298 </w:instrText>
          </w:r>
          <w:r w:rsidRPr="00686018">
            <w:rPr>
              <w:rFonts w:ascii="Times New Roman" w:hAnsi="Times New Roman" w:cs="Times New Roman"/>
              <w:sz w:val="24"/>
              <w:szCs w:val="24"/>
            </w:rPr>
            <w:fldChar w:fldCharType="separate"/>
          </w:r>
          <w:r w:rsidR="00F737D9" w:rsidRPr="00686018">
            <w:rPr>
              <w:rFonts w:ascii="Times New Roman" w:hAnsi="Times New Roman" w:cs="Times New Roman"/>
              <w:noProof/>
              <w:sz w:val="24"/>
              <w:szCs w:val="24"/>
            </w:rPr>
            <w:t>(Risberg K 2013)</w:t>
          </w:r>
          <w:r w:rsidRPr="00686018">
            <w:rPr>
              <w:rFonts w:ascii="Times New Roman" w:hAnsi="Times New Roman" w:cs="Times New Roman"/>
              <w:sz w:val="24"/>
              <w:szCs w:val="24"/>
            </w:rPr>
            <w:fldChar w:fldCharType="end"/>
          </w:r>
        </w:sdtContent>
      </w:sdt>
      <w:r w:rsidRPr="00686018">
        <w:rPr>
          <w:rFonts w:ascii="Times New Roman" w:hAnsi="Times New Roman" w:cs="Times New Roman"/>
          <w:sz w:val="24"/>
          <w:szCs w:val="24"/>
        </w:rPr>
        <w:t>. Mientras que, la baja relación C/N de estiércol y su deficiencia de carbono retarda la digestión anaeróbica. Sin embargo, la codigestión de estos dos sustratos puede ser una solución para abordar el desequilibrio de la relación C/N de cada sustrato (</w:t>
      </w:r>
      <w:r w:rsidRPr="00686018">
        <w:rPr>
          <w:rFonts w:ascii="Times New Roman" w:hAnsi="Times New Roman" w:cs="Times New Roman"/>
          <w:b/>
          <w:sz w:val="24"/>
          <w:szCs w:val="24"/>
        </w:rPr>
        <w:t>Figura 7</w:t>
      </w:r>
      <w:r w:rsidRPr="00686018">
        <w:rPr>
          <w:rFonts w:ascii="Times New Roman" w:hAnsi="Times New Roman" w:cs="Times New Roman"/>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{"citationItems":[{"id":"ITEM-1","itemData":{"DOI":"10.1016/j.wasman.2017.08.014","ISSN":"18792456","abstract":"Anaerobic digestion (AD) of different agro-industrial wastes and their co-digestion potential has been exhaustively studied in this research. It explores variation of feedstock characteristics such as biodegradability and methane potential during AD and anaerobic co-digestion (ACoD) of chicken litter (CL) with yoghurt whey (YW), organic fraction of municipal solid waste (OFMSW), hay grass (HG) and wheat straw (WS) under mesophilic conditions. Comparative performance was made at different loading concentrations (2%, 3% and 4% VS) with 1:2 g/g VS of substrate to inoculum and carrying C/N ratio. Among different kinetic models, the AD of single substrates showed better fit to the modified Gompertz model (R2: 0.93–0.997) indicating variation in lag phase and methane production rate depend on the substrate characteristics. During ACoD, the methane yield improved by 9–85% through the addition of two, three or four substrates due to the synergistic effect as a result of increased biodegradability and optimum conditions (such as C/N ratio). A surface (optimisation) model indicated that maximum methane production can be achieved by blending chicken litter (30–35%) and a (65–70%) mixture of yoghurt whey, hay and wheat straw with a C/N ratio of (26–27.5).","author":[{"dropping-particle":"","family":"Zahan","given":"Zubayeda","non-dropping-particle":"","parse-names":false,"suffix":""},{"dropping-particle":"","family":"Othman","given":"Maazuza Z.","non-dropping-particle":"","parse-names":false,"suffix":""},{"dropping-particle":"","family":"Muster","given":"Tim H.","non-dropping-particle":"","parse-names":false,"suffix":""}],"container-title":"Waste Management","id":"ITEM-1","issued":{"date-parts":[["2018"]]},"page":"663-674","publisher":"Elsevier Ltd","title":"Anaerobic digestion/co-digestion kinetic potentials of different agro-industrial wastes: A comparative batch study for C/N optimisation","type":"article-journal","volume":"71"},"uris":["http://www.mendeley.com/documents/?uuid=ee637534-2286-4dd5-bb30-86129a1d9026"]}],"mendeley":{"formattedCitation":"(Zahan et al. 2018)","plainTextFormattedCitation":"(Zahan et al. 2018)","previouslyFormattedCitation":"(Zahan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(Zahan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informaron que al añadir material lignocelulósico al sistema mejoro la relación C/N y el rendimiento de biogás aumento con el aumento del porcentaje del residuo lignocelulósico en codigestión con menor porcentaje de residuos de pollo. Además, determinaron que la producción de biogás se incrementa, cuando el porcentaje de residuos de pollo junto con otro residuo agroindustrial forman una relación C/N de 26 a 27.5; por el </w:t>
      </w:r>
      <w:r w:rsidRPr="00686018">
        <w:rPr>
          <w:rFonts w:ascii="Times New Roman" w:hAnsi="Times New Roman" w:cs="Times New Roman"/>
          <w:sz w:val="24"/>
          <w:szCs w:val="24"/>
        </w:rPr>
        <w:lastRenderedPageBreak/>
        <w:t>contrario, la producción de biogás se redujo cuando la relación C/N es superiores a 29.</w:t>
      </w:r>
    </w:p>
    <w:p w:rsidR="00DF46F4" w:rsidRPr="00686018" w:rsidRDefault="00774C0C" w:rsidP="00B46DDC">
      <w:pPr>
        <w:jc w:val="center"/>
        <w:rPr>
          <w:rFonts w:ascii="Times New Roman" w:hAnsi="Times New Roman" w:cs="Times New Roman"/>
          <w:sz w:val="24"/>
          <w:szCs w:val="24"/>
        </w:rPr>
      </w:pPr>
      <w:r w:rsidRPr="00686018">
        <w:rPr>
          <w:rFonts w:ascii="Times New Roman" w:hAnsi="Times New Roman" w:cs="Times New Roman"/>
          <w:noProof/>
          <w:lang w:eastAsia="es-EC"/>
        </w:rPr>
        <w:drawing>
          <wp:inline distT="0" distB="0" distL="0" distR="0" wp14:anchorId="6DA2A418" wp14:editId="137E2069">
            <wp:extent cx="4104005" cy="2470785"/>
            <wp:effectExtent l="0" t="0" r="0" b="5715"/>
            <wp:docPr id="1" name="Imagen 1" descr="D:\Shäferhund\LateX folder\images\c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häferhund\LateX folder\images\cn.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04005" cy="2470785"/>
                    </a:xfrm>
                    <a:prstGeom prst="rect">
                      <a:avLst/>
                    </a:prstGeom>
                    <a:noFill/>
                    <a:ln>
                      <a:noFill/>
                    </a:ln>
                  </pic:spPr>
                </pic:pic>
              </a:graphicData>
            </a:graphic>
          </wp:inline>
        </w:drawing>
      </w:r>
    </w:p>
    <w:p w:rsidR="00DF46F4" w:rsidRPr="00686018" w:rsidRDefault="00B639AA" w:rsidP="00B46DDC">
      <w:pPr>
        <w:pStyle w:val="Descripcin"/>
        <w:jc w:val="center"/>
        <w:rPr>
          <w:rFonts w:ascii="Times New Roman" w:hAnsi="Times New Roman" w:cs="Times New Roman"/>
          <w:i w:val="0"/>
          <w:color w:val="auto"/>
        </w:rPr>
      </w:pPr>
      <w:bookmarkStart w:id="92" w:name="_Toc9537875"/>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7</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Efecto de la relación C/N en el rendimiento de biogás a partir de residuos de pollo y </w:t>
      </w:r>
      <w:r w:rsidR="00774C0C" w:rsidRPr="00686018">
        <w:rPr>
          <w:rFonts w:ascii="Times New Roman" w:hAnsi="Times New Roman" w:cs="Times New Roman"/>
          <w:i w:val="0"/>
          <w:color w:val="auto"/>
        </w:rPr>
        <w:t>paja de trigo.</w:t>
      </w:r>
      <w:bookmarkEnd w:id="92"/>
    </w:p>
    <w:p w:rsidR="00DF46F4" w:rsidRPr="00686018" w:rsidRDefault="00DF46F4" w:rsidP="00B46DDC">
      <w:pPr>
        <w:pStyle w:val="Descripcin"/>
        <w:jc w:val="center"/>
        <w:rPr>
          <w:rFonts w:ascii="Times New Roman" w:hAnsi="Times New Roman" w:cs="Times New Roman"/>
          <w:i w:val="0"/>
          <w:color w:val="auto"/>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 xml:space="preserve">Tomado de </w:t>
      </w:r>
      <w:r w:rsidRPr="00686018">
        <w:rPr>
          <w:rFonts w:ascii="Times New Roman" w:hAnsi="Times New Roman" w:cs="Times New Roman"/>
          <w:i w:val="0"/>
          <w:color w:val="auto"/>
          <w:szCs w:val="24"/>
        </w:rPr>
        <w:fldChar w:fldCharType="begin" w:fldLock="1"/>
      </w:r>
      <w:r w:rsidRPr="00686018">
        <w:rPr>
          <w:rFonts w:ascii="Times New Roman" w:hAnsi="Times New Roman" w:cs="Times New Roman"/>
          <w:i w:val="0"/>
          <w:color w:val="auto"/>
          <w:szCs w:val="24"/>
        </w:rPr>
        <w:instrText>ADDIN CSL_CITATION {"citationItems":[{"id":"ITEM-1","itemData":{"DOI":"10.1016/j.wasman.2017.08.014","ISSN":"18792456","abstract":"Anaerobic digestion (AD) of different agro-industrial wastes and their co-digestion potential has been exhaustively studied in this research. It explores variation of feedstock characteristics such as biodegradability and methane potential during AD and anaerobic co-digestion (ACoD) of chicken litter (CL) with yoghurt whey (YW), organic fraction of municipal solid waste (OFMSW), hay grass (HG) and wheat straw (WS) under mesophilic conditions. Comparative performance was made at different loading concentrations (2%, 3% and 4% VS) with 1:2 g/g VS of substrate to inoculum and carrying C/N ratio. Among different kinetic models, the AD of single substrates showed better fit to the modified Gompertz model (R2: 0.93–0.997) indicating variation in lag phase and methane production rate depend on the substrate characteristics. During ACoD, the methane yield improved by 9–85% through the addition of two, three or four substrates due to the synergistic effect as a result of increased biodegradability and optimum conditions (such as C/N ratio). A surface (optimisation) model indicated that maximum methane production can be achieved by blending chicken litter (30–35%) and a (65–70%) mixture of yoghurt whey, hay and wheat straw with a C/N ratio of (26–27.5).","author":[{"dropping-particle":"","family":"Zahan","given":"Zubayeda","non-dropping-particle":"","parse-names":false,"suffix":""},{"dropping-particle":"","family":"Othman","given":"Maazuza Z.","non-dropping-particle":"","parse-names":false,"suffix":""},{"dropping-particle":"","family":"Muster","given":"Tim H.","non-dropping-particle":"","parse-names":false,"suffix":""}],"container-title":"Waste Management","id":"ITEM-1","issued":{"date-parts":[["2018"]]},"page":"663-674","publisher":"Elsevier Ltd","title":"Anaerobic digestion/co-digestion kinetic potentials of different agro-industrial wastes: A comparative batch study for C/N optimisation","type":"article-journal","volume":"71"},"uris":["http://www.mendeley.com/documents/?uuid=ee637534-2286-4dd5-bb30-86129a1d9026"]}],"mendeley":{"formattedCitation":"(Zahan et al. 2018)","plainTextFormattedCitation":"(Zahan et al. 2018)","previouslyFormattedCitation":"(Zahan et al. 2018)"},"properties":{"noteIndex":0},"schema":"https://github.com/citation-style-language/schema/raw/master/csl-citation.json"}</w:instrText>
      </w:r>
      <w:r w:rsidRPr="00686018">
        <w:rPr>
          <w:rFonts w:ascii="Times New Roman" w:hAnsi="Times New Roman" w:cs="Times New Roman"/>
          <w:i w:val="0"/>
          <w:color w:val="auto"/>
          <w:szCs w:val="24"/>
        </w:rPr>
        <w:fldChar w:fldCharType="separate"/>
      </w:r>
      <w:r w:rsidRPr="00686018">
        <w:rPr>
          <w:rFonts w:ascii="Times New Roman" w:hAnsi="Times New Roman" w:cs="Times New Roman"/>
          <w:i w:val="0"/>
          <w:noProof/>
          <w:color w:val="auto"/>
          <w:szCs w:val="24"/>
        </w:rPr>
        <w:t xml:space="preserve">(Zahan </w:t>
      </w:r>
      <w:r w:rsidR="00C80D09">
        <w:rPr>
          <w:rFonts w:ascii="Times New Roman" w:hAnsi="Times New Roman" w:cs="Times New Roman"/>
          <w:i w:val="0"/>
          <w:noProof/>
          <w:color w:val="auto"/>
          <w:szCs w:val="24"/>
        </w:rPr>
        <w:t>et al.,</w:t>
      </w:r>
      <w:r w:rsidRPr="00686018">
        <w:rPr>
          <w:rFonts w:ascii="Times New Roman" w:hAnsi="Times New Roman" w:cs="Times New Roman"/>
          <w:i w:val="0"/>
          <w:noProof/>
          <w:color w:val="auto"/>
          <w:szCs w:val="24"/>
        </w:rPr>
        <w:t xml:space="preserve"> 2018)</w:t>
      </w:r>
      <w:r w:rsidRPr="00686018">
        <w:rPr>
          <w:rFonts w:ascii="Times New Roman" w:hAnsi="Times New Roman" w:cs="Times New Roman"/>
          <w:i w:val="0"/>
          <w:color w:val="auto"/>
          <w:szCs w:val="24"/>
        </w:rPr>
        <w:fldChar w:fldCharType="end"/>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93" w:name="_Toc535410454"/>
      <w:bookmarkStart w:id="94" w:name="_Toc9537793"/>
      <w:r w:rsidRPr="00686018">
        <w:rPr>
          <w:rFonts w:ascii="Times New Roman" w:hAnsi="Times New Roman" w:cs="Times New Roman"/>
          <w:i w:val="0"/>
        </w:rPr>
        <w:t>Concentración de Ácidos grasos volátiles (AGV)</w:t>
      </w:r>
      <w:bookmarkEnd w:id="93"/>
      <w:bookmarkEnd w:id="94"/>
      <w:r w:rsidRPr="00686018">
        <w:rPr>
          <w:rFonts w:ascii="Times New Roman" w:hAnsi="Times New Roman" w:cs="Times New Roman"/>
          <w:i w:val="0"/>
        </w:rPr>
        <w:t xml:space="preserve"> </w:t>
      </w:r>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Los ácidos grasos volátiles (AGV) son los productos intermedios de la vía de producción de metano. Durante el proceso de fermentación se genera principalmente ácido acético, propiónico, butírico, isobutírico, valérico e isovalérico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{"citationItems":[{"id":"ITEM-1","itemData":{"DOI":"10.1016/j.wasman.2017.03.019","ISSN":"18792456","abstract":"Excessive acidification frequently occurs in the anaerobic digestion of the organic fraction of municipal solid waste (OFMSW) at high organic loading rates (OLR), due to the accumulation of non-acetic volatile fatty acids (VFA). In this study, the performance of Fe0in enhancing various VFA production and metabolism was investigated. The butyric acid concentration in a high OLR reactor with Fe0addition decreased from 7200 to 0 mg/L after a short lag phase, and the total VFA (TVFA) concentration also decreased substantially. The corresponding dominant acidogenesis type also changed from butyric type to propionic type fermentation. Furthermore, the CH4yield of the reactor with added Fe0was approximately 595 ml CH4/g VSadded, which was an increase of 41.7% compared with the biochemical methane potential (BMP) test results in controls without added ZVI. A microbial diversity analysis, using high throughput sequencing, showed that Methanofollis and Methanosarcina were dominant in terms of the archaeal structures of the Fe0reactor at the butyric converting stage; however, Methanosaeta was predominant in the reactor during the control BMP test. These results suggested that Fe0can convert non-acetic VFA to acetic VFA and improve the CH4yield by enhancing the activity of methanogens.","author":[{"dropping-particle":"","family":"Kong","given":"Xin","non-dropping-particle":"","parse-names":false,"suffix":""},{"dropping-particle":"","family":"Yu","given":"Shuyao","non-dropping-particle":"","parse-names":false,"suffix":""},{"dropping-particle":"","family":"Xu","given":"Shuang","non-dropping-particle":"","parse-names":false,"suffix":""},{"dropping-particle":"","family":"Fang","given":"Wen","non-dropping-particle":"","parse-names":false,"suffix":""},{"dropping-particle":"","family":"Liu","given":"Jianguo","non-dropping-particle":"","parse-names":false,"suffix":""},{"dropping-particle":"","family":"Li","given":"Huan","non-dropping-particle":"","parse-names":false,"suffix":""}],"container-title":"Waste Management","id":"ITEM-1","issued":{"date-parts":[["2018"]]},"page":"719-727","title":"Effect of Fe0addition on volatile fatty acids evolution on anaerobic digestion at high organic loading rates","type":"article-journal","volume":"71"},"uris":["http://www.mendeley.com/documents/?uuid=5aab8993-906f-4fa6-b8a7-7fe86b5a83fb"]}],"mendeley":{"formattedCitation":"(Kong et al. 2018)","plainTextFormattedCitation":"(Kong et al. 2018)","previouslyFormattedCitation":"(Kong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(Kong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Estos ácidos grasos son indicadores y se pueden usar para evaluar el rendimiento de la digestión anaeróbica (Z. W. Bah H 2014). El ácido acético es directamente utilizado por las bacterias metanógenas, mientras que el ácido propiónico y butírico necesitan ser convertidos en ácido acético por las bacterias productoras de ácido acético. El ácido propiónico se acumula fácilmente debido a su difícil uso para las bacterias metanógenas. Este ácido tiene el efecto toxico más fuerte de los AGV sobre las bacterias metanógenas</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{"citationItems":[{"id":"ITEM-1","itemData":{"DOI":"10.1016/j.biortech.2017.11.037","ISSN":"18732976","abstract":"In this study, rice straw (RS) and pig manure (PM) mixtures with or without bio-pretreatment were used as the substrates and digested in a 9 L of anaerobic reactor at Organic loading rates (OLRs) of 0.4–3.1 kg COD/(m3d). The volumetric methane production rate (VMPR), methane yield and anaerobic stability were comparatively investigated. The results showed the co-anaerobic digestion processes of RS and PM mixture after biological pretreatment were very stable at OLRs of 0.4–2.5 kg COD/(m3d), and its optimal VMPR and methane yield could reach 0.64 L CH4/(L d) and 0.4557 L CH4/g CODremovedat OLR of 2.5 kg COD/(m3d), which were 62.4% and 37.8% higher than those of the control under the same OLR condition. This study indicated the biological pretreatment with a cellulolytic microbial consortium own great potential in improving the methane yield and productivity of RS and PM wastes.","author":[{"dropping-particle":"","family":"Shen","given":"Fei","non-dropping-particle":"","parse-names":false,"suffix":""},{"dropping-particle":"","family":"Li","given":"Hanguang","non-dropping-particle":"","parse-names":false,"suffix":""},{"dropping-particle":"","family":"Wu","given":"Xiaoyu","non-dropping-particle":"","parse-names":false,"suffix":""},{"dropping-particle":"","family":"Wang","given":"Yuanxiu","non-dropping-particle":"","parse-names":false,"suffix":""},{"dropping-particle":"","family":"Zhang","given":"Qinghua","non-dropping-particle":"","parse-names":false,"suffix":""}],"container-title":"Bioresource Technology","id":"ITEM-1","issued":{"date-parts":[["2018"]]},"page":"155-162","title":"Effect of organic loading rate on anaerobic co-digestion of rice straw and pig manure with or without biological pretreatment","type":"article-journal","volume":"250"},"uris":["http://www.mendeley.com/documents/?uuid=85dde7be-51a1-4ecb-89c4-21817b06b71c"]}],"mendeley":{"formattedCitation":"(Shen et al. 2018)","plainTextFormattedCitation":"(Shen et al. 2018)","previouslyFormattedCitation":"(Shen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(Shen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La concentración de AGV incrementa con el aumento de la TCO, la acumulación de estos ácidos orgánicos puede reducir el nivel de pH por debajo de 6. La consecuencia de este bajo pH es la inactivación de microorganismos metanogénicos y/o el cambio de la ruta de los microorganismos en el consorcio microbiano que finalmente conduce a la producción de productos sin valor esperado </w:t>
      </w:r>
      <w:sdt>
        <w:sdtPr>
          <w:rPr>
            <w:rFonts w:ascii="Times New Roman" w:hAnsi="Times New Roman" w:cs="Times New Roman"/>
            <w:sz w:val="24"/>
            <w:szCs w:val="24"/>
          </w:rPr>
          <w:id w:val="-1106031436"/>
          <w:citation/>
        </w:sdtPr>
        <w:sdtEndPr/>
        <w:sdtContent>
          <w:r w:rsidRPr="00686018">
            <w:rPr>
              <w:rFonts w:ascii="Times New Roman" w:hAnsi="Times New Roman" w:cs="Times New Roman"/>
              <w:sz w:val="24"/>
              <w:szCs w:val="24"/>
            </w:rPr>
            <w:fldChar w:fldCharType="begin"/>
          </w:r>
          <w:r w:rsidRPr="00686018">
            <w:rPr>
              <w:rFonts w:ascii="Times New Roman" w:hAnsi="Times New Roman" w:cs="Times New Roman"/>
              <w:sz w:val="24"/>
              <w:szCs w:val="24"/>
            </w:rPr>
            <w:instrText xml:space="preserve"> CITATION Bah141 \l 12298 </w:instrText>
          </w:r>
          <w:r w:rsidRPr="00686018">
            <w:rPr>
              <w:rFonts w:ascii="Times New Roman" w:hAnsi="Times New Roman" w:cs="Times New Roman"/>
              <w:sz w:val="24"/>
              <w:szCs w:val="24"/>
            </w:rPr>
            <w:fldChar w:fldCharType="separate"/>
          </w:r>
          <w:r w:rsidR="00F737D9" w:rsidRPr="00686018">
            <w:rPr>
              <w:rFonts w:ascii="Times New Roman" w:hAnsi="Times New Roman" w:cs="Times New Roman"/>
              <w:noProof/>
              <w:sz w:val="24"/>
              <w:szCs w:val="24"/>
            </w:rPr>
            <w:t>(Z. W. Bah H 2014)</w:t>
          </w:r>
          <w:r w:rsidRPr="00686018">
            <w:rPr>
              <w:rFonts w:ascii="Times New Roman" w:hAnsi="Times New Roman" w:cs="Times New Roman"/>
              <w:sz w:val="24"/>
              <w:szCs w:val="24"/>
            </w:rPr>
            <w:fldChar w:fldCharType="end"/>
          </w:r>
        </w:sdtContent>
      </w:sdt>
      <w:r w:rsidRPr="00686018">
        <w:rPr>
          <w:rFonts w:ascii="Times New Roman" w:hAnsi="Times New Roman" w:cs="Times New Roman"/>
          <w:sz w:val="24"/>
          <w:szCs w:val="24"/>
        </w:rPr>
        <w:t xml:space="preserve">. Una concentración de aproximadamente 1500-2000 mg/L de VFAs puede inhibir la digestión anaeróbica. </w:t>
      </w:r>
    </w:p>
    <w:p w:rsidR="00DF46F4" w:rsidRPr="00686018" w:rsidRDefault="00DF46F4" w:rsidP="00A31608">
      <w:pPr>
        <w:pStyle w:val="Ttulo3"/>
        <w:numPr>
          <w:ilvl w:val="1"/>
          <w:numId w:val="4"/>
        </w:numPr>
        <w:ind w:left="431" w:hanging="431"/>
        <w:jc w:val="both"/>
        <w:rPr>
          <w:rFonts w:ascii="Times New Roman" w:hAnsi="Times New Roman" w:cs="Times New Roman"/>
          <w:i w:val="0"/>
        </w:rPr>
      </w:pPr>
      <w:bookmarkStart w:id="95" w:name="_Toc534817241"/>
      <w:bookmarkStart w:id="96" w:name="_Toc534817424"/>
      <w:bookmarkStart w:id="97" w:name="_Toc534817731"/>
      <w:bookmarkStart w:id="98" w:name="_Toc535410434"/>
      <w:bookmarkStart w:id="99" w:name="_Toc535410500"/>
      <w:bookmarkStart w:id="100" w:name="_Toc9537794"/>
      <w:r w:rsidRPr="00686018">
        <w:rPr>
          <w:rFonts w:ascii="Times New Roman" w:hAnsi="Times New Roman" w:cs="Times New Roman"/>
          <w:i w:val="0"/>
        </w:rPr>
        <w:t>Ensayo de Potencial Bioquímico de Metano (PBM)</w:t>
      </w:r>
      <w:bookmarkEnd w:id="95"/>
      <w:bookmarkEnd w:id="96"/>
      <w:bookmarkEnd w:id="97"/>
      <w:bookmarkEnd w:id="98"/>
      <w:bookmarkEnd w:id="99"/>
      <w:bookmarkEnd w:id="100"/>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La primera propuesta metodológica o protocolo para el ensayo de PBM fue desarrollada en 1979 por </w:t>
      </w:r>
      <w:r w:rsidR="00F776E5" w:rsidRPr="00686018">
        <w:rPr>
          <w:rFonts w:ascii="Times New Roman" w:hAnsi="Times New Roman" w:cs="Times New Roman"/>
          <w:sz w:val="24"/>
        </w:rPr>
        <w:fldChar w:fldCharType="begin" w:fldLock="1"/>
      </w:r>
      <w:r w:rsidR="007E0393" w:rsidRPr="00686018">
        <w:rPr>
          <w:rFonts w:ascii="Times New Roman" w:hAnsi="Times New Roman" w:cs="Times New Roman"/>
          <w:sz w:val="24"/>
        </w:rPr>
        <w:instrText>ADDIN CSL_CITATION {"citationItems":[{"id":"ITEM-1","itemData":{"DOI":"10.1016/0043-1354(79)90043-5","ISBN":"0043-1354","ISSN":"00431354","PMID":"29427543","abstract":"Techniques are presented for measuring the biodegradability (Biochemical Methane Potential-BMP) and toxicity (Anaerobic Toxicity Assay-ATA) of material subjected to anaerobic treatment. These relatively simple bioassays can be conducted in most research laboratories without the need for sophisticated equipment. BMP is a measure of substrate biodegradability determined by monitoring cumulative methane production from a sample which is anaerobically incubated in a chemically defined medium. The ATA measures the adverse effect of a compound on the rate of the total gas production from an easily-utilized, methanogenic substrate. These techniques are demonstrated by an analysis of the BMP and ATA of processed samples of peat. © 1979.","author":[{"dropping-particle":"","family":"Owen","given":"W. F.","non-dropping-particle":"","parse-names":false,"suffix":""},{"dropping-particle":"","family":"Stuckey","given":"D. C.","non-dropping-particle":"","parse-names":false,"suffix":""},{"dropping-particle":"","family":"Healy","given":"J. B.","non-dropping-particle":"","parse-names":false,"suffix":""},{"dropping-particle":"","family":"Young","given":"L. Y.","non-dropping-particle":"","parse-names":false,"suffix":""},{"dropping-particle":"","family":"McCarty","given":"P. L.","non-dropping-particle":"","parse-names":false,"suffix":""}],"container-title":"Water Research","id":"ITEM-1","issue":"6","issued":{"date-parts":[["1979"]]},"page":"485-492","title":"Bioassay for monitoring biochemical methane potential and anaerobic toxicity","type":"article-journal","volume":"13"},"uris":["http://www.mendeley.com/documents/?uuid=54d37252-8386-4c62-bcd9-23047b13aab8"]}],"mendeley":{"formattedCitation":"(Owen et al. 1979)","plainTextFormattedCitation":"(Owen et al. 1979)","previouslyFormattedCitation":"(Owen et al. 1979)"},"properties":{"noteIndex":0},"schema":"https://github.com/citation-style-language/schema/raw/master/csl-citation.json"}</w:instrText>
      </w:r>
      <w:r w:rsidR="00F776E5" w:rsidRPr="00686018">
        <w:rPr>
          <w:rFonts w:ascii="Times New Roman" w:hAnsi="Times New Roman" w:cs="Times New Roman"/>
          <w:sz w:val="24"/>
        </w:rPr>
        <w:fldChar w:fldCharType="separate"/>
      </w:r>
      <w:r w:rsidR="00F776E5" w:rsidRPr="00686018">
        <w:rPr>
          <w:rFonts w:ascii="Times New Roman" w:hAnsi="Times New Roman" w:cs="Times New Roman"/>
          <w:noProof/>
          <w:sz w:val="24"/>
        </w:rPr>
        <w:t xml:space="preserve">(Owen </w:t>
      </w:r>
      <w:r w:rsidR="00C80D09">
        <w:rPr>
          <w:rFonts w:ascii="Times New Roman" w:hAnsi="Times New Roman" w:cs="Times New Roman"/>
          <w:noProof/>
          <w:sz w:val="24"/>
        </w:rPr>
        <w:t>et al.,</w:t>
      </w:r>
      <w:r w:rsidR="00F776E5" w:rsidRPr="00686018">
        <w:rPr>
          <w:rFonts w:ascii="Times New Roman" w:hAnsi="Times New Roman" w:cs="Times New Roman"/>
          <w:noProof/>
          <w:sz w:val="24"/>
        </w:rPr>
        <w:t xml:space="preserve"> 1979)</w:t>
      </w:r>
      <w:r w:rsidR="00F776E5" w:rsidRPr="00686018">
        <w:rPr>
          <w:rFonts w:ascii="Times New Roman" w:hAnsi="Times New Roman" w:cs="Times New Roman"/>
          <w:sz w:val="24"/>
        </w:rPr>
        <w:fldChar w:fldCharType="end"/>
      </w:r>
      <w:r w:rsidRPr="00686018">
        <w:rPr>
          <w:rFonts w:ascii="Times New Roman" w:hAnsi="Times New Roman" w:cs="Times New Roman"/>
          <w:color w:val="FF0000"/>
          <w:sz w:val="24"/>
        </w:rPr>
        <w:t xml:space="preserve"> </w:t>
      </w:r>
      <w:r w:rsidRPr="00686018">
        <w:rPr>
          <w:rFonts w:ascii="Times New Roman" w:hAnsi="Times New Roman" w:cs="Times New Roman"/>
          <w:sz w:val="24"/>
        </w:rPr>
        <w:t xml:space="preserve">para determinar la biodegradabilidad </w:t>
      </w:r>
      <w:r w:rsidRPr="00686018">
        <w:rPr>
          <w:rFonts w:ascii="Times New Roman" w:hAnsi="Times New Roman" w:cs="Times New Roman"/>
          <w:sz w:val="24"/>
        </w:rPr>
        <w:lastRenderedPageBreak/>
        <w:t>de materiales orgánicos bajo condiciones operacionales definidas durante 30 días, analizando el efecto del acondicionamiento alcalino sobre el valor del PBM.</w:t>
      </w:r>
    </w:p>
    <w:p w:rsidR="00DF46F4" w:rsidRPr="00686018" w:rsidRDefault="00DF46F4" w:rsidP="00A31608">
      <w:pPr>
        <w:jc w:val="both"/>
        <w:rPr>
          <w:rFonts w:ascii="Times New Roman" w:hAnsi="Times New Roman" w:cs="Times New Roman"/>
          <w:color w:val="FF0000"/>
          <w:sz w:val="24"/>
        </w:rPr>
      </w:pPr>
      <w:r w:rsidRPr="00686018">
        <w:rPr>
          <w:rFonts w:ascii="Times New Roman" w:hAnsi="Times New Roman" w:cs="Times New Roman"/>
          <w:sz w:val="24"/>
        </w:rPr>
        <w:t xml:space="preserve">La posibilidad de emplear un sustrato específico en el proceso de digestión anaerobia es mediante la identificación de su biodegradabilidad, para lo cual se realizan pruebas a escala de laboratorio entre las que se destaca el ensayo de Potencial Bioquímico de Metano (PBM), que se emplea a nivel mundial y se caracteriza por su simplicidad, relativa rapidez y bajo costo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{"citationItems":[{"id":"ITEM-1","itemData":{"DOI":"10.1016/0043-1354(79)90043-5","ISBN":"0043-1354","ISSN":"00431354","PMID":"29427543","abstract":"Techniques are presented for measuring the biodegradability (Biochemical Methane Potential-BMP) and toxicity (Anaerobic Toxicity Assay-ATA) of material subjected to anaerobic treatment. These relatively simple bioassays can be conducted in most research laboratories without the need for sophisticated equipment. BMP is a measure of substrate biodegradability determined by monitoring cumulative methane production from a sample which is anaerobically incubated in a chemically defined medium. The ATA measures the adverse effect of a compound on the rate of the total gas production from an easily-utilized, methanogenic substrate. These techniques are demonstrated by an analysis of the BMP and ATA of processed samples of peat. © 1979.","author":[{"dropping-particle":"","family":"Owen","given":"W. F.","non-dropping-particle":"","parse-names":false,"suffix":""},{"dropping-particle":"","family":"Stuckey","given":"D. C.","non-dropping-particle":"","parse-names":false,"suffix":""},{"dropping-particle":"","family":"Healy","given":"J. B.","non-dropping-particle":"","parse-names":false,"suffix":""},{"dropping-particle":"","family":"Young","given":"L. Y.","non-dropping-particle":"","parse-names":false,"suffix":""},{"dropping-particle":"","family":"McCarty","given":"P. L.","non-dropping-particle":"","parse-names":false,"suffix":""}],"container-title":"Water Research","id":"ITEM-1","issue":"6","issued":{"date-parts":[["1979"]]},"page":"485-492","title":"Bioassay for monitoring biochemical methane potential and anaerobic toxicity","type":"article-journal","volume":"13"},"uris":["http://www.mendeley.com/documents/?uuid=54d37252-8386-4c62-bcd9-23047b13aab8"]}],"mendeley":{"formattedCitation":"(Owen et al. 1979)","plainTextFormattedCitation":"(Owen et al. 1979)","previouslyFormattedCitation":"(Owen et al. 1979)"},"properties":{"noteIndex":0},"schema":"https://github.com/citation-style-language/schema/raw/master/csl-citation.json"}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(Owen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1979)</w:t>
      </w:r>
      <w:r w:rsidRPr="00686018">
        <w:rPr>
          <w:rFonts w:ascii="Times New Roman" w:hAnsi="Times New Roman" w:cs="Times New Roman"/>
          <w:sz w:val="24"/>
        </w:rPr>
        <w:fldChar w:fldCharType="end"/>
      </w:r>
      <w:r w:rsidRPr="00686018">
        <w:rPr>
          <w:rFonts w:ascii="Times New Roman" w:hAnsi="Times New Roman" w:cs="Times New Roman"/>
          <w:sz w:val="24"/>
        </w:rPr>
        <w:t xml:space="preserve">. El principio del ensayo de PBM consiste en la mezcla de un sustrato orgánico con un inóculo anaerobio en condiciones experimentales y operacionales definidas; el CH4 generado durante la digestión anaerobia se cuantifica por un método de medición específico (método manométrico, volumétrico o de cromatografía de gases)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{"citationItems":[{"id":"ITEM-1","itemData":{"DOI":"10.2174/1874829501205010001","ISBN":"1874-8295","ISSN":"18748295","PMID":"23437674","abstract":"Bio-methane potential (BMP) tests are widely used in studies concerning the anaerobic digestion of organic\\nsolids. Although they are often criticized to be time consumer, with an average length longer than 30 days, such tests are\\ndoubtless easy to be conducted, relatively inexpensive and repeatable. Moreover, BMP tests give significant information\\nabout the bio-methanation of specific substrates and provide experimental results essential to calibrate and validate\\nmathematical models. These last two aspects have been handled in this work where the following elements have been de-\\nscribed in detail: i) the methods used to conduct the BMP tests; ii) the cumulative bio-methane curves obtained from three\\nBMP tests, concerning respectively two pure organic substrates (swine manure-SM and greengrocery waste-GW) and an\\norganic substrate obtained by mixing buffalo manure (BM) and maize silage (MS); iii) the procedure used to calibrate a\\nmathematical model proposed by the authors to simulate the anaerobic digestion process; iv) the results of the calibration\\nprocess. This paper shows that BMP tests are extremely helpful to determine the amount of bio-methane obtainable from\\ndifferent organic solids and under different operational conditions as well as the biodegradability of the investigated sub-\\nstrate, the relative specific rate of bio-methanation and the synergic effect of multiple co-digested substrates. Furthermore\\nBMP tests represent an interesting tool for the technical and economical optimization of bio-methane producing plants","author":[{"dropping-particle":"","family":"Esposito, G.; Frunzo, L.; Liotta, F.; Panico, A.; Pirozzi","given":"F","non-dropping-particle":"","parse-names":false,"suffix":""}],"container-title":"The Open Environmental Engineering Journal","id":"ITEM-1","issued":{"date-parts":[["2012"]]},"page":"1-8","title":"Bio-Methane Potential Tests To Measure The Biogas Production From The Digestion and Co-Digestion of Complex Organic Substrates","type":"article-journal","volume":"5"},"uris":["http://www.mendeley.com/documents/?uuid=bff164c5-2f67-47c0-8420-bc0550ee54ce"]}],"mendeley":{"formattedCitation":"(Esposito, G.; Frunzo, L.; Liotta, F.; Panico, A.; Pirozzi 2012)","plainTextFormattedCitation":"(Esposito, G.; Frunzo, L.; Liotta, F.; Panico, A.; Pirozzi 2012)","previouslyFormattedCitation":"(Esposito, G.; Frunzo, L.; Liotta, F.; Panico, A.; Pirozzi 2012)"},"properties":{"noteIndex":0},"schema":"https://github.com/citation-style-language/schema/raw/master/csl-citation.json"}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(Esposito, G.; Frunzo, L.; Liotta, F.; Panico, A.; Pirozzi 2012)</w:t>
      </w:r>
      <w:r w:rsidRPr="00686018">
        <w:rPr>
          <w:rFonts w:ascii="Times New Roman" w:hAnsi="Times New Roman" w:cs="Times New Roman"/>
          <w:sz w:val="24"/>
        </w:rPr>
        <w:fldChar w:fldCharType="end"/>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01" w:name="_Toc534817245"/>
      <w:bookmarkStart w:id="102" w:name="_Toc534817428"/>
      <w:bookmarkStart w:id="103" w:name="_Toc534817736"/>
      <w:bookmarkStart w:id="104" w:name="_Toc535410439"/>
      <w:bookmarkStart w:id="105" w:name="_Toc535410501"/>
      <w:bookmarkStart w:id="106" w:name="_Toc9537795"/>
      <w:r w:rsidRPr="00686018">
        <w:rPr>
          <w:rFonts w:ascii="Times New Roman" w:hAnsi="Times New Roman" w:cs="Times New Roman"/>
          <w:i w:val="0"/>
          <w:u w:val="none"/>
        </w:rPr>
        <w:t>Factores que influyen en el ensayo de PBM</w:t>
      </w:r>
      <w:bookmarkEnd w:id="101"/>
      <w:bookmarkEnd w:id="102"/>
      <w:bookmarkEnd w:id="103"/>
      <w:bookmarkEnd w:id="104"/>
      <w:bookmarkEnd w:id="105"/>
      <w:bookmarkEnd w:id="106"/>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En el ensayo de PBM influyen diferentes factores que pueden agruparse en cuatro grandes grupos: los relacionados con el sustrato, con el inóculo, con las condiciones operacionales y con las experimentales.</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07" w:name="_Toc534817429"/>
      <w:bookmarkStart w:id="108" w:name="_Toc534817737"/>
      <w:bookmarkStart w:id="109" w:name="_Toc535410440"/>
      <w:bookmarkStart w:id="110" w:name="_Toc9537796"/>
      <w:r w:rsidRPr="00686018">
        <w:rPr>
          <w:rFonts w:ascii="Times New Roman" w:hAnsi="Times New Roman" w:cs="Times New Roman"/>
          <w:i w:val="0"/>
        </w:rPr>
        <w:t>Sustratos</w:t>
      </w:r>
      <w:bookmarkEnd w:id="107"/>
      <w:bookmarkEnd w:id="108"/>
      <w:bookmarkEnd w:id="109"/>
      <w:bookmarkEnd w:id="110"/>
    </w:p>
    <w:p w:rsidR="00DF46F4" w:rsidRPr="00686018" w:rsidRDefault="00DF46F4" w:rsidP="00A31608">
      <w:p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En general, los sustratos contienen un rango amplio de materia orgánica simple y compleja el cual puede ser usado para el proceso de digestión anaerobia. Los componentes orgánicos podrían predominar dependiendo de su fuente (estiércol, residuos de cosecha, residuo alimenticio e industrial) y a veces su composición exacta es difícil de conocer.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{"citationItems":[{"id":"ITEM-1","itemData":{"DOI":"10.1016/j.rser.2016.11.184","ISBN":"13640321","ISSN":"18790690","abstract":"Globally, there is increasing awareness that renewable energy and energy efficiency are vital for both creating new economic opportunities and controlling the environmental pollution. AD technology is the biochemical process of biogas production which can change the complex organic materials into a clean and renewable source of energy. AcoD process is a reliable alternative option to resolve the disadvantages of single substrate digestion system related to substrate characteristics and system optimization. This paper reviewed the research progress and challenges of AcoD technology, and the contribution of different techniques in biogas production engineering. As the applicability and demand of the AcoD technology increases, the complexity of the system becomes increased, and the characterization of organic materials becomes volatile which requires advanced methods for investigation. Numerous publications have been noted that ADM1 model and its modified version becomes the most powerful tool to optimize the AcoD process of biogas production, and indicating that the disintegration and hydrolysis steps are the limiting factors of co-digestion process. Biochemical methane potential (BMP) test is promising method to determine the biodegradability and decomposition rate of organic materials. The addition of different environmentally friendly nanoparticles can improve the stability and performance of the AcoD system. The process optimization and improvement of biogas production still seek further investigations. Furthermore, using advanced simulation approaches and characterization methods of organic wastes can accelerate the transformation to industrializations, and realize the significant improvement of biogas production as a renewable source and economically feasible energy in developing countries, like China. Finally, the review reveals, designing and developing a framework, including various aspects to improve the biogas production is essential.","author":[{"dropping-particle":"","family":"Hagos","given":"Kiros","non-dropping-particle":"","parse-names":false,"suffix":""},{"dropping-particle":"","family":"Zong","given":"Jianpeng","non-dropping-particle":"","parse-names":false,"suffix":""},{"dropping-particle":"","family":"Li","given":"Dongxue","non-dropping-particle":"","parse-names":false,"suffix":""},{"dropping-particle":"","family":"Liu","given":"Chang","non-dropping-particle":"","parse-names":false,"suffix":""},{"dropping-particle":"","family":"Lu","given":"Xiaohua","non-dropping-particle":"","parse-names":false,"suffix":""}],"container-title":"Renewable and Sustainable Energy Reviews","id":"ITEM-1","issue":"September","issued":{"date-parts":[["2017"]]},"page":"1485-1496","publisher":"Elsevier","title":"Anaerobic co-digestion process for biogas production: Progress, challenges and perspectives","type":"article-journal","volume":"76"},"uris":["http://www.mendeley.com/documents/?uuid=646c4b7e-0e28-4baa-ad4e-fd5fcccd6f4a"]}],"mendeley":{"formattedCitation":"(Hagos et al. 2017)","plainTextFormattedCitation":"(Hagos et al. 2017)","previouslyFormattedCitation":"(Hagos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(Hagos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p>
    <w:p w:rsidR="00DF46F4" w:rsidRPr="00686018" w:rsidRDefault="00DF46F4" w:rsidP="00A31608">
      <w:pPr>
        <w:pStyle w:val="Ttulo5"/>
        <w:numPr>
          <w:ilvl w:val="3"/>
          <w:numId w:val="4"/>
        </w:numPr>
        <w:ind w:left="646" w:hanging="646"/>
        <w:jc w:val="both"/>
        <w:rPr>
          <w:rFonts w:ascii="Times New Roman" w:eastAsiaTheme="minorEastAsia" w:hAnsi="Times New Roman" w:cs="Times New Roman"/>
          <w:i w:val="0"/>
        </w:rPr>
      </w:pPr>
      <w:bookmarkStart w:id="111" w:name="_Toc534817430"/>
      <w:bookmarkStart w:id="112" w:name="_Toc534817738"/>
      <w:bookmarkStart w:id="113" w:name="_Toc535410441"/>
      <w:bookmarkStart w:id="114" w:name="_Toc9537797"/>
      <w:r w:rsidRPr="00686018">
        <w:rPr>
          <w:rFonts w:ascii="Times New Roman" w:eastAsiaTheme="minorEastAsia" w:hAnsi="Times New Roman" w:cs="Times New Roman"/>
          <w:i w:val="0"/>
        </w:rPr>
        <w:t>Solidos totales (ST) y Solidos volátiles (SV)</w:t>
      </w:r>
      <w:bookmarkEnd w:id="111"/>
      <w:bookmarkEnd w:id="112"/>
      <w:bookmarkEnd w:id="113"/>
      <w:bookmarkEnd w:id="114"/>
    </w:p>
    <w:p w:rsidR="00DF46F4" w:rsidRPr="00686018" w:rsidRDefault="00DF46F4" w:rsidP="00A31608">
      <w:pPr>
        <w:spacing w:before="360" w:after="360"/>
        <w:jc w:val="both"/>
        <w:rPr>
          <w:rFonts w:ascii="Times New Roman" w:hAnsi="Times New Roman" w:cs="Times New Roman"/>
          <w:color w:val="000000" w:themeColor="text1"/>
          <w:sz w:val="24"/>
          <w:szCs w:val="24"/>
        </w:rPr>
      </w:pPr>
      <w:r w:rsidRPr="00686018">
        <w:rPr>
          <w:rFonts w:ascii="Times New Roman" w:hAnsi="Times New Roman" w:cs="Times New Roman"/>
          <w:color w:val="000000" w:themeColor="text1"/>
          <w:sz w:val="24"/>
          <w:szCs w:val="24"/>
        </w:rPr>
        <w:t xml:space="preserve">Todos los sustratos se caracterizan como sea posible. En particular, siempre se determina: solidos totales (ST) y solidos volátiles (SV) </w:t>
      </w:r>
      <w:r w:rsidRPr="00686018">
        <w:rPr>
          <w:rFonts w:ascii="Times New Roman" w:hAnsi="Times New Roman" w:cs="Times New Roman"/>
          <w:color w:val="000000" w:themeColor="text1"/>
          <w:sz w:val="24"/>
          <w:szCs w:val="24"/>
        </w:rPr>
        <w:fldChar w:fldCharType="begin" w:fldLock="1"/>
      </w:r>
      <w:r w:rsidRPr="00686018">
        <w:rPr>
          <w:rFonts w:ascii="Times New Roman" w:hAnsi="Times New Roman" w:cs="Times New Roman"/>
          <w:color w:val="000000" w:themeColor="text1"/>
          <w:sz w:val="24"/>
          <w:szCs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color w:val="000000" w:themeColor="text1"/>
          <w:sz w:val="24"/>
          <w:szCs w:val="24"/>
        </w:rPr>
        <w:fldChar w:fldCharType="separate"/>
      </w:r>
      <w:r w:rsidRPr="00686018">
        <w:rPr>
          <w:rFonts w:ascii="Times New Roman" w:hAnsi="Times New Roman" w:cs="Times New Roman"/>
          <w:noProof/>
          <w:color w:val="000000" w:themeColor="text1"/>
          <w:sz w:val="24"/>
          <w:szCs w:val="24"/>
        </w:rPr>
        <w:t xml:space="preserve">(Angelidaki </w:t>
      </w:r>
      <w:r w:rsidR="00C80D09">
        <w:rPr>
          <w:rFonts w:ascii="Times New Roman" w:hAnsi="Times New Roman" w:cs="Times New Roman"/>
          <w:noProof/>
          <w:color w:val="000000" w:themeColor="text1"/>
          <w:sz w:val="24"/>
          <w:szCs w:val="24"/>
        </w:rPr>
        <w:t>et al.,</w:t>
      </w:r>
      <w:r w:rsidRPr="00686018">
        <w:rPr>
          <w:rFonts w:ascii="Times New Roman" w:hAnsi="Times New Roman" w:cs="Times New Roman"/>
          <w:noProof/>
          <w:color w:val="000000" w:themeColor="text1"/>
          <w:sz w:val="24"/>
          <w:szCs w:val="24"/>
        </w:rPr>
        <w:t xml:space="preserve"> 2009)</w:t>
      </w:r>
      <w:r w:rsidRPr="00686018">
        <w:rPr>
          <w:rFonts w:ascii="Times New Roman" w:hAnsi="Times New Roman" w:cs="Times New Roman"/>
          <w:color w:val="000000" w:themeColor="text1"/>
          <w:sz w:val="24"/>
          <w:szCs w:val="24"/>
        </w:rPr>
        <w:fldChar w:fldCharType="end"/>
      </w:r>
      <w:r w:rsidRPr="00686018">
        <w:rPr>
          <w:rFonts w:ascii="Times New Roman" w:hAnsi="Times New Roman" w:cs="Times New Roman"/>
          <w:color w:val="000000" w:themeColor="text1"/>
          <w:sz w:val="24"/>
          <w:szCs w:val="24"/>
        </w:rPr>
        <w:t xml:space="preserve">. La materia orgánica incluye, carbohidratos, proteínas, lípidos, ácidos, aminoácidos, etc.; para precisar una unidad de medida de la cantidad de materia orgánica, se usa un método que incluyan todos ellos, llamado método de evaluación de solidos volátiles </w:t>
      </w:r>
      <w:r w:rsidRPr="00686018">
        <w:rPr>
          <w:rFonts w:ascii="Times New Roman" w:hAnsi="Times New Roman" w:cs="Times New Roman"/>
          <w:color w:val="000000" w:themeColor="text1"/>
          <w:sz w:val="24"/>
          <w:szCs w:val="24"/>
        </w:rPr>
        <w:fldChar w:fldCharType="begin" w:fldLock="1"/>
      </w:r>
      <w:r w:rsidRPr="00686018">
        <w:rPr>
          <w:rFonts w:ascii="Times New Roman" w:hAnsi="Times New Roman" w:cs="Times New Roman"/>
          <w:color w:val="000000" w:themeColor="text1"/>
          <w:sz w:val="24"/>
          <w:szCs w:val="24"/>
        </w:rPr>
        <w:instrText>ADDIN CSL_CITATION {"citationItems":[{"id":"ITEM-1","itemData":{"DOI":"10.1007/3-540-45838-7_4","ISBN":"0724-6145 (Print)\\r0724-6145 (Linking)","ISSN":"0724-6145","PMID":"12747567","abstract":"The current status in monitoring and control of anaerobic reactors is reviewed. The influence of reactor design and waste composition on the possible monitoring and control schemes is examined. After defining the overall control structure, and possible control objectives, the possible process measurements are reviewed in detail. In the sequel, possible manipulated variables, such as the hydraulic retention time, the organic loading rate, the sludge retention time, temperature, pH and alkalinity are evaluated with respect to the two main reactor types: high-rate and low-rate. Finally, the different control approaches that have been used are comprehensively described. These include simple and adaptive controllers, as well as more recent developments such as fuzzy controllers, knowledge-based controllers and controllers based on neural networks.","author":[{"dropping-particle":"","family":"Pind","given":"Peter F.","non-dropping-particle":"","parse-names":false,"suffix":""},{"dropping-particle":"","family":"Angelidaki","given":"Irini","non-dropping-particle":"","parse-names":false,"suffix":""},{"dropping-particle":"","family":"Ahring","given":"Birgitte K.","non-dropping-particle":"","parse-names":false,"suffix":""},{"dropping-particle":"","family":"Stamatelatou","given":"Katerina","non-dropping-particle":"","parse-names":false,"suffix":""},{"dropping-particle":"","family":"Lyberatos","given":"Gerasimos","non-dropping-particle":"","parse-names":false,"suffix":""}],"id":"ITEM-1","issued":{"date-parts":[["2003"]]},"page":"135-182","title":"Monitoring and Control of Anaerobic Reactors","type":"article-journal","volume":"82"},"uris":["http://www.mendeley.com/documents/?uuid=b78def36-bef3-4beb-bcff-a50273d33f25"]}],"mendeley":{"formattedCitation":"(Pind et al. 2003)","plainTextFormattedCitation":"(Pind et al. 2003)","previouslyFormattedCitation":"(Pind et al. 2003)"},"properties":{"noteIndex":0},"schema":"https://github.com/citation-style-language/schema/raw/master/csl-citation.json"}</w:instrText>
      </w:r>
      <w:r w:rsidRPr="00686018">
        <w:rPr>
          <w:rFonts w:ascii="Times New Roman" w:hAnsi="Times New Roman" w:cs="Times New Roman"/>
          <w:color w:val="000000" w:themeColor="text1"/>
          <w:sz w:val="24"/>
          <w:szCs w:val="24"/>
        </w:rPr>
        <w:fldChar w:fldCharType="separate"/>
      </w:r>
      <w:r w:rsidRPr="00686018">
        <w:rPr>
          <w:rFonts w:ascii="Times New Roman" w:hAnsi="Times New Roman" w:cs="Times New Roman"/>
          <w:noProof/>
          <w:color w:val="000000" w:themeColor="text1"/>
          <w:sz w:val="24"/>
          <w:szCs w:val="24"/>
        </w:rPr>
        <w:t xml:space="preserve">(Pind </w:t>
      </w:r>
      <w:r w:rsidR="00C80D09">
        <w:rPr>
          <w:rFonts w:ascii="Times New Roman" w:hAnsi="Times New Roman" w:cs="Times New Roman"/>
          <w:noProof/>
          <w:color w:val="000000" w:themeColor="text1"/>
          <w:sz w:val="24"/>
          <w:szCs w:val="24"/>
        </w:rPr>
        <w:t>et al.,</w:t>
      </w:r>
      <w:r w:rsidRPr="00686018">
        <w:rPr>
          <w:rFonts w:ascii="Times New Roman" w:hAnsi="Times New Roman" w:cs="Times New Roman"/>
          <w:noProof/>
          <w:color w:val="000000" w:themeColor="text1"/>
          <w:sz w:val="24"/>
          <w:szCs w:val="24"/>
        </w:rPr>
        <w:t xml:space="preserve"> 2003)</w:t>
      </w:r>
      <w:r w:rsidRPr="00686018">
        <w:rPr>
          <w:rFonts w:ascii="Times New Roman" w:hAnsi="Times New Roman" w:cs="Times New Roman"/>
          <w:color w:val="000000" w:themeColor="text1"/>
          <w:sz w:val="24"/>
          <w:szCs w:val="24"/>
        </w:rPr>
        <w:fldChar w:fldCharType="end"/>
      </w:r>
      <w:r w:rsidRPr="00686018">
        <w:rPr>
          <w:rFonts w:ascii="Times New Roman" w:hAnsi="Times New Roman" w:cs="Times New Roman"/>
          <w:color w:val="000000" w:themeColor="text1"/>
          <w:sz w:val="24"/>
          <w:szCs w:val="24"/>
        </w:rPr>
        <w:t>. Los SV al finalizar el experimento expresará la concentración de metano producido por cada gramo de materia orgánica degradada, con las unidades (</w:t>
      </w:r>
      <w:r w:rsidR="00DD14D0">
        <w:rPr>
          <w:rFonts w:ascii="Times New Roman" w:hAnsi="Times New Roman" w:cs="Times New Roman"/>
          <w:color w:val="000000" w:themeColor="text1"/>
          <w:sz w:val="24"/>
          <w:szCs w:val="24"/>
        </w:rPr>
        <w:t>mL</w:t>
      </w:r>
      <w:r w:rsidRPr="00686018">
        <w:rPr>
          <w:rFonts w:ascii="Times New Roman" w:hAnsi="Times New Roman" w:cs="Times New Roman"/>
          <w:color w:val="000000" w:themeColor="text1"/>
          <w:sz w:val="24"/>
          <w:szCs w:val="24"/>
        </w:rPr>
        <w:t xml:space="preserve">CH4/g-SV). </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15" w:name="_Toc534817431"/>
      <w:bookmarkStart w:id="116" w:name="_Toc534817739"/>
      <w:bookmarkStart w:id="117" w:name="_Toc535410442"/>
      <w:bookmarkStart w:id="118" w:name="_Toc9537798"/>
      <w:r w:rsidRPr="00686018">
        <w:rPr>
          <w:rFonts w:ascii="Times New Roman" w:hAnsi="Times New Roman" w:cs="Times New Roman"/>
          <w:i w:val="0"/>
        </w:rPr>
        <w:t>Celulosa, hemicelulosa y lignina</w:t>
      </w:r>
      <w:bookmarkEnd w:id="115"/>
      <w:bookmarkEnd w:id="116"/>
      <w:bookmarkEnd w:id="117"/>
      <w:bookmarkEnd w:id="118"/>
    </w:p>
    <w:p w:rsidR="00DF46F4" w:rsidRPr="00686018" w:rsidRDefault="00DF46F4" w:rsidP="00A31608">
      <w:pPr>
        <w:spacing w:before="360" w:after="360"/>
        <w:jc w:val="both"/>
        <w:rPr>
          <w:rFonts w:ascii="Times New Roman" w:hAnsi="Times New Roman" w:cs="Times New Roman"/>
          <w:color w:val="000000" w:themeColor="text1"/>
          <w:sz w:val="24"/>
          <w:szCs w:val="24"/>
        </w:rPr>
      </w:pPr>
      <w:r w:rsidRPr="00686018">
        <w:rPr>
          <w:rFonts w:ascii="Times New Roman" w:hAnsi="Times New Roman" w:cs="Times New Roman"/>
          <w:color w:val="000000" w:themeColor="text1"/>
          <w:sz w:val="24"/>
          <w:szCs w:val="24"/>
        </w:rPr>
        <w:t>Además, se debe determinar el contenido de celulosa, hemicelulosa y lignina (</w:t>
      </w:r>
      <w:r w:rsidRPr="00686018">
        <w:rPr>
          <w:rFonts w:ascii="Times New Roman" w:hAnsi="Times New Roman" w:cs="Times New Roman"/>
          <w:b/>
          <w:color w:val="000000" w:themeColor="text1"/>
          <w:sz w:val="24"/>
          <w:szCs w:val="24"/>
        </w:rPr>
        <w:t>Figura 8</w:t>
      </w:r>
      <w:r w:rsidRPr="00686018">
        <w:rPr>
          <w:rFonts w:ascii="Times New Roman" w:hAnsi="Times New Roman" w:cs="Times New Roman"/>
          <w:color w:val="000000" w:themeColor="text1"/>
          <w:sz w:val="24"/>
          <w:szCs w:val="24"/>
        </w:rPr>
        <w:t>) de los sustratos con el fin de conocer posibles inhibiciones</w:t>
      </w:r>
      <w:r w:rsidRPr="00686018">
        <w:rPr>
          <w:rFonts w:ascii="Times New Roman" w:hAnsi="Times New Roman" w:cs="Times New Roman"/>
          <w:sz w:val="24"/>
          <w:szCs w:val="24"/>
        </w:rPr>
        <w:t xml:space="preserve">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(Angelidaki </w:t>
      </w:r>
      <w:r w:rsidR="00C80D09">
        <w:rPr>
          <w:rFonts w:ascii="Times New Roman" w:hAnsi="Times New Roman" w:cs="Times New Roman"/>
          <w:noProof/>
          <w:sz w:val="24"/>
          <w:szCs w:val="24"/>
        </w:rPr>
        <w:lastRenderedPageBreak/>
        <w:t>et al.,</w:t>
      </w:r>
      <w:r w:rsidRPr="00686018">
        <w:rPr>
          <w:rFonts w:ascii="Times New Roman" w:hAnsi="Times New Roman" w:cs="Times New Roman"/>
          <w:noProof/>
          <w:sz w:val="24"/>
          <w:szCs w:val="24"/>
        </w:rPr>
        <w:t xml:space="preserve"> 2009)</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y mejores relaciones de sustrato a co-sustrato que maximicen el rendimiento de metano. La biomasa rica en celulosa posee un alto potencial de metano más que la biomasa rica en hemicelulosa. Sin embargo, al realizar codigestión de ambas se tiene una interacción durante la digestión anaerobia, misma que corresponde a un efecto sinérgico de 15.5% el cual favorece el rendimiento de metano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{"citationItems":[{"id":"ITEM-1","itemData":{"DOI":"10.1016/j.apenergy.2018.05.055","ISSN":"03062619","abstract":"Lignocellulosic biomass is the most abundant natural resource with high biomethane potential. However, complex structure of lignocellulosic biomass has hampered the efficient utilization of this bioresource. Previous studies have investigated the overall anaerobic digestion performance of lignocellulosic biomass, but the individual participation of each lignocellulosic component during anaerobic digestion remained unclear. Thus, this study investigated the methane production characteristics of cellulose, hemicellulose, lignin and their mixtures along with the microbial communities involved in anaerobic digestion. The results showed that the biomethane potential of cellulose was higher than that of hemicellulose; however, hemicellulose was hydrolysed more quickly than cellulose, while lignin was very difficult to be digested. The higher concentrations of acetic, n-butyric and n-valeric acids hydrolysed from the hemicellulose resulted in a lower pH and more severe inhibition on methane production than that of cellulose, and the methanogenesis gradually recovered after pH adjustment. The co-digestion of cellulose and hemicellulose increased the methane yield and biodegradability compared to mono-digestions. The addition of lignin to cellulose brought more significant decrease in the methane yield of cellulose than that of hemicellulose. Substrate-related bacteria such as Clostridium sensu stricto, Lutaonella, Cloacibacillus and Christensenella showed higher relative abundance in cellulose digestate, and sugar-fermenting bacteria such as Saccharofermentans, Petrimonas and Levilinea were more rich in the digestate of hemicellulose. Moreover, methanogenic Methanospirillum and Methanothrix likely contributed to the methane production of cellulose, while aciduric methanogens from Methanobrevibacter, Methanomassiliicoccus, Methanobacterium and Methanoculleus contributed to that of hemicellulose. This study provides a deeper understanding of the mechanism in the bioconversion of lignocellulosic biomass during anaerobic digestion.","author":[{"dropping-particle":"","family":"Li","given":"Wanwu","non-dropping-particle":"","parse-names":false,"suffix":""},{"dropping-particle":"","family":"Khalid","given":"Habiba","non-dropping-particle":"","parse-names":false,"suffix":""},{"dropping-particle":"","family":"Zhu","given":"Zhe","non-dropping-particle":"","parse-names":false,"suffix":""},{"dropping-particle":"","family":"Zhang","given":"Ruihong","non-dropping-particle":"","parse-names":false,"suffix":""},{"dropping-particle":"","family":"Liu","given":"Guangqing","non-dropping-particle":"","parse-names":false,"suffix":""},{"dropping-particle":"","family":"Chen","given":"Chang","non-dropping-particle":"","parse-names":false,"suffix":""},{"dropping-particle":"","family":"Thorin","given":"Eva","non-dropping-particle":"","parse-names":false,"suffix":""}],"container-title":"Applied Energy","id":"ITEM-1","issue":"January","issued":{"date-parts":[["2018"]]},"page":"1219-1228","publisher":"Elsevier","title":"Methane production through anaerobic digestion: Participation and digestion characteristics of cellulose, hemicellulose and lignin","type":"article-journal","volume":"226"},"uris":["http://www.mendeley.com/documents/?uuid=2eb49bb9-8c84-4db0-a914-f1078ce8f857"]}],"mendeley":{"formattedCitation":"(Li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(Li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p>
    <w:p w:rsidR="000D3B86" w:rsidRPr="00686018" w:rsidRDefault="000D3B86" w:rsidP="00B46DDC">
      <w:pPr>
        <w:spacing w:before="360" w:after="360"/>
        <w:jc w:val="center"/>
        <w:rPr>
          <w:rFonts w:ascii="Times New Roman" w:hAnsi="Times New Roman" w:cs="Times New Roman"/>
          <w:color w:val="FF0000"/>
          <w:sz w:val="24"/>
          <w:szCs w:val="24"/>
        </w:rPr>
      </w:pPr>
      <w:r w:rsidRPr="00686018">
        <w:rPr>
          <w:rFonts w:ascii="Times New Roman" w:hAnsi="Times New Roman" w:cs="Times New Roman"/>
          <w:noProof/>
          <w:color w:val="FF0000"/>
          <w:sz w:val="24"/>
          <w:szCs w:val="24"/>
          <w:lang w:eastAsia="es-EC"/>
        </w:rPr>
        <w:drawing>
          <wp:inline distT="0" distB="0" distL="0" distR="0" wp14:anchorId="68AE2100" wp14:editId="7B34FA6D">
            <wp:extent cx="4965405" cy="4119880"/>
            <wp:effectExtent l="0" t="0" r="6985" b="0"/>
            <wp:docPr id="40" name="Imagen 40" descr="D:\Shäferhund\LateX folder\images\l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häferhund\LateX folder\images\lig.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70538" cy="4124139"/>
                    </a:xfrm>
                    <a:prstGeom prst="rect">
                      <a:avLst/>
                    </a:prstGeom>
                    <a:noFill/>
                    <a:ln>
                      <a:noFill/>
                    </a:ln>
                  </pic:spPr>
                </pic:pic>
              </a:graphicData>
            </a:graphic>
          </wp:inline>
        </w:drawing>
      </w:r>
    </w:p>
    <w:p w:rsidR="00DF46F4" w:rsidRPr="00686018" w:rsidRDefault="00B639AA" w:rsidP="00B46DDC">
      <w:pPr>
        <w:pStyle w:val="Descripcin"/>
        <w:jc w:val="center"/>
        <w:rPr>
          <w:rFonts w:ascii="Times New Roman" w:hAnsi="Times New Roman" w:cs="Times New Roman"/>
          <w:i w:val="0"/>
          <w:color w:val="auto"/>
        </w:rPr>
      </w:pPr>
      <w:bookmarkStart w:id="119" w:name="_Toc9537876"/>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8</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Distribución de celulosa, hemicelulosa y lignina en la pared celular de los sustratos lignocelulósicos.</w:t>
      </w:r>
      <w:bookmarkEnd w:id="119"/>
    </w:p>
    <w:p w:rsidR="00DF46F4" w:rsidRPr="00686018" w:rsidRDefault="00DF46F4" w:rsidP="00B46DDC">
      <w:pPr>
        <w:spacing w:before="360" w:after="360"/>
        <w:jc w:val="center"/>
        <w:rPr>
          <w:rFonts w:ascii="Times New Roman" w:hAnsi="Times New Roman" w:cs="Times New Roman"/>
          <w:sz w:val="18"/>
          <w:szCs w:val="18"/>
        </w:rPr>
      </w:pPr>
      <w:r w:rsidRPr="00686018">
        <w:rPr>
          <w:rFonts w:ascii="Times New Roman" w:hAnsi="Times New Roman" w:cs="Times New Roman"/>
          <w:b/>
          <w:sz w:val="18"/>
          <w:szCs w:val="18"/>
        </w:rPr>
        <w:t>Fuente:</w:t>
      </w:r>
      <w:r w:rsidRPr="00686018">
        <w:rPr>
          <w:rFonts w:ascii="Times New Roman" w:hAnsi="Times New Roman" w:cs="Times New Roman"/>
          <w:sz w:val="18"/>
          <w:szCs w:val="18"/>
        </w:rPr>
        <w:t xml:space="preserve"> </w:t>
      </w:r>
      <w:r w:rsidR="006D64AB" w:rsidRPr="00686018">
        <w:rPr>
          <w:rFonts w:ascii="Times New Roman" w:hAnsi="Times New Roman" w:cs="Times New Roman"/>
          <w:sz w:val="18"/>
          <w:szCs w:val="18"/>
        </w:rPr>
        <w:t xml:space="preserve">Tomado de </w:t>
      </w:r>
      <w:r w:rsidR="007E0393" w:rsidRPr="00686018">
        <w:rPr>
          <w:rFonts w:ascii="Times New Roman" w:hAnsi="Times New Roman" w:cs="Times New Roman"/>
          <w:sz w:val="18"/>
          <w:szCs w:val="18"/>
        </w:rPr>
        <w:fldChar w:fldCharType="begin" w:fldLock="1"/>
      </w:r>
      <w:r w:rsidR="00DD537A" w:rsidRPr="00686018">
        <w:rPr>
          <w:rFonts w:ascii="Times New Roman" w:hAnsi="Times New Roman" w:cs="Times New Roman"/>
          <w:sz w:val="18"/>
          <w:szCs w:val="18"/>
        </w:rPr>
        <w:instrText>ADDIN CSL_CITATION {"citationItems":[{"id":"ITEM-1","itemData":{"DOI":"10.1016/j.rser.2016.02.022","ISBN":"0030-8870","ISSN":"18790690","PMID":"24439530","abstract":"Grass is being considered as a potential feedstock for biogas production, due to its low water consumption compared to other crops, and the fact that it can be cultivated in non-arable lands, avoiding the direct competition with food crops. However, biogas production is limited by the characteristics of the feedstock; in particular its complex lignocellulosic structure. Hence, different pretreatment methods are being investigated for grass structure disruption before undergoing the anaerobic digestion process. The aim of this paper is to review current knowledge on pretreatment techniques used for grassland biomass. Pretreatment techniques were categorized into mechanical, microwave, thermal, chemical and biological groups. The effect of the application of each studied methods on the biogas yield and on the energy balance is discussed. A further comparison between the covered techniques was revealed.","author":[{"dropping-particle":"","family":"Rodriguez","given":"Cristina","non-dropping-particle":"","parse-names":false,"suffix":""},{"dropping-particle":"","family":"Alaswad","given":"A.","non-dropping-particle":"","parse-names":false,"suffix":""},{"dropping-particle":"","family":"Benyounis","given":"K. Y.","non-dropping-particle":"","parse-names":false,"suffix":""},{"dropping-particle":"","family":"Olabi","given":"A. G.","non-dropping-particle":"","parse-names":false,"suffix":""}],"container-title":"Renewable and Sustainable Energy Reviews","id":"ITEM-1","issued":{"date-parts":[["2017"]]},"page":"1193-1204","publisher":"Elsevier","title":"Pretreatment techniques used in biogas production from grass","type":"article-journal","volume":"68"},"uris":["http://www.mendeley.com/documents/?uuid=411da732-3836-47df-994b-2d8872dbf13c"]}],"mendeley":{"formattedCitation":"(Rodriguez et al. 2017)","plainTextFormattedCitation":"(Rodriguez et al. 2017)","previouslyFormattedCitation":"(Rodriguez et al. 2017)"},"properties":{"noteIndex":0},"schema":"https://github.com/citation-style-language/schema/raw/master/csl-citation.json"}</w:instrText>
      </w:r>
      <w:r w:rsidR="007E0393" w:rsidRPr="00686018">
        <w:rPr>
          <w:rFonts w:ascii="Times New Roman" w:hAnsi="Times New Roman" w:cs="Times New Roman"/>
          <w:sz w:val="18"/>
          <w:szCs w:val="18"/>
        </w:rPr>
        <w:fldChar w:fldCharType="separate"/>
      </w:r>
      <w:r w:rsidR="007E0393" w:rsidRPr="00686018">
        <w:rPr>
          <w:rFonts w:ascii="Times New Roman" w:hAnsi="Times New Roman" w:cs="Times New Roman"/>
          <w:noProof/>
          <w:sz w:val="18"/>
          <w:szCs w:val="18"/>
        </w:rPr>
        <w:t xml:space="preserve">(Rodriguez </w:t>
      </w:r>
      <w:r w:rsidR="00C80D09">
        <w:rPr>
          <w:rFonts w:ascii="Times New Roman" w:hAnsi="Times New Roman" w:cs="Times New Roman"/>
          <w:noProof/>
          <w:sz w:val="18"/>
          <w:szCs w:val="18"/>
        </w:rPr>
        <w:t>et al.,</w:t>
      </w:r>
      <w:r w:rsidR="007E0393" w:rsidRPr="00686018">
        <w:rPr>
          <w:rFonts w:ascii="Times New Roman" w:hAnsi="Times New Roman" w:cs="Times New Roman"/>
          <w:noProof/>
          <w:sz w:val="18"/>
          <w:szCs w:val="18"/>
        </w:rPr>
        <w:t xml:space="preserve"> 2017)</w:t>
      </w:r>
      <w:r w:rsidR="007E0393" w:rsidRPr="00686018">
        <w:rPr>
          <w:rFonts w:ascii="Times New Roman" w:hAnsi="Times New Roman" w:cs="Times New Roman"/>
          <w:sz w:val="18"/>
          <w:szCs w:val="18"/>
        </w:rPr>
        <w:fldChar w:fldCharType="end"/>
      </w:r>
    </w:p>
    <w:p w:rsidR="00DF46F4" w:rsidRPr="00686018" w:rsidRDefault="00DF46F4" w:rsidP="00A31608">
      <w:p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Por otro lado, la materia orgánica rica en lignina casi no produce metano durante la DA, esto se debe a que la biodegradación de la lignina ocurre en medioambientes aerobios y en medios anaerobios la lignina persiste por periodos largos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{"citationItems":[{"id":"ITEM-1","itemData":{"DOI":"10.1016/j.apenergy.2018.05.055","ISSN":"03062619","abstract":"Lignocellulosic biomass is the most abundant natural resource with high biomethane potential. However, complex structure of lignocellulosic biomass has hampered the efficient utilization of this bioresource. Previous studies have investigated the overall anaerobic digestion performance of lignocellulosic biomass, but the individual participation of each lignocellulosic component during anaerobic digestion remained unclear. Thus, this study investigated the methane production characteristics of cellulose, hemicellulose, lignin and their mixtures along with the microbial communities involved in anaerobic digestion. The results showed that the biomethane potential of cellulose was higher than that of hemicellulose; however, hemicellulose was hydrolysed more quickly than cellulose, while lignin was very difficult to be digested. The higher concentrations of acetic, n-butyric and n-valeric acids hydrolysed from the hemicellulose resulted in a lower pH and more severe inhibition on methane production than that of cellulose, and the methanogenesis gradually recovered after pH adjustment. The co-digestion of cellulose and hemicellulose increased the methane yield and biodegradability compared to mono-digestions. The addition of lignin to cellulose brought more significant decrease in the methane yield of cellulose than that of hemicellulose. Substrate-related bacteria such as Clostridium sensu stricto, Lutaonella, Cloacibacillus and Christensenella showed higher relative abundance in cellulose digestate, and sugar-fermenting bacteria such as Saccharofermentans, Petrimonas and Levilinea were more rich in the digestate of hemicellulose. Moreover, methanogenic Methanospirillum and Methanothrix likely contributed to the methane production of cellulose, while aciduric methanogens from Methanobrevibacter, Methanomassiliicoccus, Methanobacterium and Methanoculleus contributed to that of hemicellulose. This study provides a deeper understanding of the mechanism in the bioconversion of lignocellulosic biomass during anaerobic digestion.","author":[{"dropping-particle":"","family":"Li","given":"Wanwu","non-dropping-particle":"","parse-names":false,"suffix":""},{"dropping-particle":"","family":"Khalid","given":"Habiba","non-dropping-particle":"","parse-names":false,"suffix":""},{"dropping-particle":"","family":"Zhu","given":"Zhe","non-dropping-particle":"","parse-names":false,"suffix":""},{"dropping-particle":"","family":"Zhang","given":"Ruihong","non-dropping-particle":"","parse-names":false,"suffix":""},{"dropping-particle":"","family":"Liu","given":"Guangqing","non-dropping-particle":"","parse-names":false,"suffix":""},{"dropping-particle":"","family":"Chen","given":"Chang","non-dropping-particle":"","parse-names":false,"suffix":""},{"dropping-particle":"","family":"Thorin","given":"Eva","non-dropping-particle":"","parse-names":false,"suffix":""}],"container-title":"Applied Energy","id":"ITEM-1","issue":"January","issued":{"date-parts":[["2018"]]},"page":"1219-1228","publisher":"Elsevier","title":"Methane production through anaerobic digestion: Participation and digestion characteristics of cellulose, hemicellulose and lignin","type":"article-journal","volume":"226"},"uris":["http://www.mendeley.com/documents/?uuid=2eb49bb9-8c84-4db0-a914-f1078ce8f857"]}],"mendeley":{"formattedCitation":"(Li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(Li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t xml:space="preserve">Esto a su vez, porque la lignina en la superficie de los sustratos actúa como una barrera física </w:t>
      </w:r>
      <w:r w:rsidRPr="00686018">
        <w:rPr>
          <w:rFonts w:ascii="Times New Roman" w:hAnsi="Times New Roman" w:cs="Times New Roman"/>
          <w:color w:val="000000" w:themeColor="text1"/>
          <w:sz w:val="24"/>
          <w:szCs w:val="24"/>
        </w:rPr>
        <w:t>(</w:t>
      </w:r>
      <w:r w:rsidRPr="00686018">
        <w:rPr>
          <w:rFonts w:ascii="Times New Roman" w:hAnsi="Times New Roman" w:cs="Times New Roman"/>
          <w:b/>
          <w:color w:val="000000" w:themeColor="text1"/>
          <w:sz w:val="24"/>
          <w:szCs w:val="24"/>
        </w:rPr>
        <w:t>Figura 8</w:t>
      </w:r>
      <w:r w:rsidRPr="00686018">
        <w:rPr>
          <w:rFonts w:ascii="Times New Roman" w:hAnsi="Times New Roman" w:cs="Times New Roman"/>
          <w:color w:val="000000" w:themeColor="text1"/>
          <w:sz w:val="24"/>
          <w:szCs w:val="24"/>
        </w:rPr>
        <w:t>)</w:t>
      </w:r>
      <w:r w:rsidRPr="00686018">
        <w:rPr>
          <w:rFonts w:ascii="Times New Roman" w:hAnsi="Times New Roman" w:cs="Times New Roman"/>
          <w:sz w:val="24"/>
          <w:szCs w:val="24"/>
        </w:rPr>
        <w:t xml:space="preserve"> que evita la hidrolisis enzimática y por consiguiente una deficiencia del proceso de DA y bajos rendimientos de metano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{"citationItems":[{"id":"ITEM-1","itemData":{"DOI":"10.1016/j.apenergy.2018.05.055","ISSN":"03062619","abstract":"Lignocellulosic biomass is the most abundant natural resource with high biomethane potential. However, complex structure of lignocellulosic biomass has hampered the efficient utilization of this bioresource. Previous studies have investigated the overall anaerobic digestion performance of lignocellulosic biomass, but the individual participation of each lignocellulosic component during anaerobic digestion remained unclear. Thus, this study investigated the methane production characteristics of cellulose, hemicellulose, lignin and their mixtures along with the microbial communities involved in anaerobic digestion. The results showed that the biomethane potential of cellulose was higher than that of hemicellulose; however, hemicellulose was hydrolysed more quickly than cellulose, while lignin was very difficult to be digested. The higher concentrations of acetic, n-butyric and n-valeric acids hydrolysed from the hemicellulose resulted in a lower pH and more severe inhibition on methane production than that of cellulose, and the methanogenesis gradually recovered after pH adjustment. The co-digestion of cellulose and hemicellulose increased the methane yield and biodegradability compared to mono-digestions. The addition of lignin to cellulose brought more significant decrease in the methane yield of cellulose than that of hemicellulose. Substrate-related bacteria such as Clostridium sensu stricto, Lutaonella, Cloacibacillus and Christensenella showed higher relative abundance in cellulose digestate, and sugar-fermenting bacteria such as Saccharofermentans, Petrimonas and Levilinea were more rich in the digestate of hemicellulose. Moreover, methanogenic Methanospirillum and Methanothrix likely contributed to the methane production of cellulose, while aciduric methanogens from Methanobrevibacter, Methanomassiliicoccus, Methanobacterium and Methanoculleus contributed to that of hemicellulose. This study provides a deeper understanding of the mechanism in the bioconversion of lignocellulosic biomass during anaerobic digestion.","author":[{"dropping-particle":"","family":"Li","given":"Wanwu","non-dropping-particle":"","parse-names":false,"suffix":""},{"dropping-particle":"","family":"Khalid","given":"Habiba","non-dropping-particle":"","parse-names":false,"suffix":""},{"dropping-particle":"","family":"Zhu","given":"Zhe","non-dropping-particle":"","parse-names":false,"suffix":""},{"dropping-particle":"","family":"Zhang","given":"Ruihong","non-dropping-particle":"","parse-names":false,"suffix":""},{"dropping-particle":"","family":"Liu","given":"Guangqing","non-dropping-particle":"","parse-names":false,"suffix":""},{"dropping-particle":"","family":"Chen","given":"Chang","non-dropping-particle":"","parse-names":false,"suffix":""},{"dropping-particle":"","family":"Thorin","given":"Eva","non-dropping-particle":"","parse-names":false,"suffix":""}],"container-title":"Applied Energy","id":"ITEM-1","issue":"January","issued":{"date-parts":[["2018"]]},"page":"1219-1228","publisher":"Elsevier","title":"Methane production through anaerobic digestion: Participation and digestion characteristics of cellulose, hemicellulose and lignin","type":"article-journal","volume":"226"},"uris":["http://www.mendeley.com/documents/?uuid=2eb49bb9-8c84-4db0-a914-f1078ce8f857"]}],"mendeley":{"formattedCitation":"(Li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(Li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20" w:name="_Toc535410455"/>
      <w:bookmarkStart w:id="121" w:name="_Toc9537799"/>
      <w:r w:rsidRPr="00686018">
        <w:rPr>
          <w:rFonts w:ascii="Times New Roman" w:hAnsi="Times New Roman" w:cs="Times New Roman"/>
          <w:i w:val="0"/>
        </w:rPr>
        <w:lastRenderedPageBreak/>
        <w:t>Biodegradabilidad</w:t>
      </w:r>
      <w:bookmarkEnd w:id="120"/>
      <w:bookmarkEnd w:id="121"/>
      <w:r w:rsidRPr="00686018">
        <w:rPr>
          <w:rFonts w:ascii="Times New Roman" w:hAnsi="Times New Roman" w:cs="Times New Roman"/>
          <w:i w:val="0"/>
        </w:rPr>
        <w:t xml:space="preserve"> </w:t>
      </w:r>
    </w:p>
    <w:p w:rsidR="00DF46F4" w:rsidRPr="00686018" w:rsidRDefault="00DF46F4" w:rsidP="00A31608">
      <w:p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La biodegradación es el proceso de descomposición química realizada por los microorganismos. La biodegradabilidad (BD) es la propiedad de la materia para degradarse de manera segura en un sistema y ser consumida por los microorganismos en condiciones anaerobias. Hay diferentes factores físicos, químicos y fisiológicos en el medioambiente que afectan la biodegradación de los componentes orgánicos, tales como biodisponibilidad, bioaccesibilidad, temperatura, pH, humedad y concentración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{"citationItems":[{"id":"ITEM-1","itemData":{"DOI":"10.1016/j.cej.2013.05.082","ISBN":"1385-8947","ISSN":"13858947","abstract":"A new model structure for the hydrolysis step is introduced in the IWA anaerobic digestion model no 1 (ADM1) in order to better represent the bioaccessibility of particulate organic matter. Two particulate organic matter fractions for waste activated sludge (WAS) samples were defined: a readily hydrolysable fraction ( Xcr) and a slowly hydrolysable fraction ( Xcs). These fractions were hydrolyzed according to a surface-limiting reaction. Batch anaerobic digestion test of untreated WAS was used to develop the model and calibrate the kinetic parameters and biomass concentrations. The validation was carried out with a similar substrate than the calibration but a thermal pretreatment was applied at two different conditions (110. °C and 220. °C). The behavior of thermophilic anaerobic digestion of WAS samples was effectively represented by the proposed model. No changes among kinetic parameter sets were done and the model is able to represent produced methane volume following the intrinsic changes of the WAS composition through the different thermal pretreatment conditions. Moreover, estimated parameters in 20. days of batch anaerobic digestion test were representative of continuous anaerobic digestion in a full-scale digester. © 2013 Elsevier B.V.","author":[{"dropping-particle":"","family":"Mottet","given":"A.","non-dropping-particle":"","parse-names":false,"suffix":""},{"dropping-particle":"","family":"Ramirez","given":"I.","non-dropping-particle":"","parse-names":false,"suffix":""},{"dropping-particle":"","family":"Carrère","given":"H.","non-dropping-particle":"","parse-names":false,"suffix":""},{"dropping-particle":"","family":"Déléris","given":"S.","non-dropping-particle":"","parse-names":false,"suffix":""},{"dropping-particle":"","family":"Vedrenne","given":"F.","non-dropping-particle":"","parse-names":false,"suffix":""},{"dropping-particle":"","family":"Jimenez","given":"J.","non-dropping-particle":"","parse-names":false,"suffix":""},{"dropping-particle":"","family":"Steyer","given":"J. P.","non-dropping-particle":"","parse-names":false,"suffix":""}],"container-title":"Chemical Engineering Journal","id":"ITEM-1","issued":{"date-parts":[["2013"]]},"page":"871-881","publisher":"Elsevier B.V.","title":"New fractionation for a better bioaccessibility description of particulate organic matter in a modified ADM1 model","type":"article-journal","volume":"228"},"uris":["http://www.mendeley.com/documents/?uuid=a98a7a11-fd64-4087-a581-6a8a0b731c46"]}],"mendeley":{"formattedCitation":"(Mottet et al. 2013)","plainTextFormattedCitation":"(Mottet et al. 2013)","previouslyFormattedCitation":"(Mottet et al. 2013)"},"properties":{"noteIndex":0},"schema":"https://github.com/citation-style-language/schema/raw/master/csl-citation.json"}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(Mottet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2013)</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w:t>
      </w:r>
    </w:p>
    <w:p w:rsidR="00DF46F4" w:rsidRPr="00686018" w:rsidRDefault="00DF46F4" w:rsidP="00A31608">
      <w:pPr>
        <w:spacing w:before="360" w:after="360"/>
        <w:jc w:val="both"/>
        <w:rPr>
          <w:rFonts w:ascii="Times New Roman" w:hAnsi="Times New Roman" w:cs="Times New Roman"/>
          <w:color w:val="FF0000"/>
          <w:sz w:val="24"/>
          <w:szCs w:val="24"/>
        </w:rPr>
      </w:pPr>
      <w:r w:rsidRPr="00686018">
        <w:rPr>
          <w:rFonts w:ascii="Times New Roman" w:hAnsi="Times New Roman" w:cs="Times New Roman"/>
          <w:sz w:val="24"/>
          <w:szCs w:val="24"/>
        </w:rPr>
        <w:t xml:space="preserve">La biodegradación anaeróbica es un proceso complejo, pero es esencial para el crecimiento de los microorganismos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(Angelidaki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2009)</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r w:rsidRPr="00686018">
        <w:rPr>
          <w:rFonts w:ascii="Times New Roman" w:hAnsi="Times New Roman" w:cs="Times New Roman"/>
          <w:color w:val="FF0000"/>
          <w:sz w:val="24"/>
          <w:szCs w:val="24"/>
        </w:rPr>
        <w:t xml:space="preserve"> </w:t>
      </w:r>
      <w:r w:rsidRPr="00686018">
        <w:rPr>
          <w:rFonts w:ascii="Times New Roman" w:hAnsi="Times New Roman" w:cs="Times New Roman"/>
          <w:color w:val="000000" w:themeColor="text1"/>
          <w:sz w:val="24"/>
          <w:szCs w:val="24"/>
        </w:rPr>
        <w:t xml:space="preserve">En los sistemas de codigestión anaerobia, la desintegración y la etapa de hidrolisis de la biomasa, es el factor limitante y responsable de la biodegradabilidad, bioaccesibilidad y tasa de degradación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{"citationItems":[{"id":"ITEM-1","itemData":{"DOI":"10.1002/bit.22163","ISBN":"6173365472","ISSN":"00063592","PMID":"18988267","abstract":"In hydrolysis-limited anerobic systems, the key parameters describing degradation are degradability extent (f(d)), and the lumped apparent first order coefficient (k(hyd)). These are often measured in biological methane potential (BMP) tests. Using modern techniques, it should also be possible to estimate these parameters in full-scale systems, especially where inputs are dynamic. In this study, we evaluated f(d) and k(hyd) values and uncertainty based on nonlinear parameter estimation from (i) BMP tests and (ii) effluent gas and solids from two full-scale digesters fed with highly variable feed flows and concentrations (up to 6 kg COD m(-3) day(-1)). The substrate was thermally hydrolyzed activated sludge, and the inoculum for BMP tests was from the full-scale digesters. While identifiability of both parameters in the BMP tests was generally good, only f(d) could be well identified using continuous data. For k(hyd) using continuous data, normally only a lower limit could be found (upper was unbounded). In addition, parameters as estimated on different outputs (VS and gasflow) and two different digesters were consistent, with an f(d) value of 0.45-0.55, and a k(hyd) value of &gt;5 day(-1). Gradual changes in f(d) over the 450 days could be related to upstream changes. f(d) values as estimated in BMP tests were consistent (if conservative) with continuous estimates, with a f(d) in BMP of 0.4-0.5. k(hyd) values were an order of magnitude lower (0.15-0.25 day(-1) vs. &gt;5 day(-1)), and this translated to very poor model performance when BMP-estimated values were used in the continuous model. This means that while BMP testing may be used for project feasibility analysis, values obtained should not be used for dynamic modeling. The parameter confidence regions found were highly nonlinear, especially for continuous systems, indicating that iterative or sampling techniques are required for an estimate of real parameter uncertainty.","author":[{"dropping-particle":"","family":"Batstone","given":"D. J.","non-dropping-particle":"","parse-names":false,"suffix":""},{"dropping-particle":"","family":"Tait","given":"S.","non-dropping-particle":"","parse-names":false,"suffix":""},{"dropping-particle":"","family":"Starrenburg","given":"D.","non-dropping-particle":"","parse-names":false,"suffix":""}],"container-title":"Biotechnology and Bioengineering","id":"ITEM-1","issue":"5","issued":{"date-parts":[["2009"]]},"page":"1513-1520","title":"Estimation of hydrolysis parameters in full-scale anerobic digesters","type":"article-journal","volume":"102"},"uris":["http://www.mendeley.com/documents/?uuid=fe13d250-8f27-4453-92b1-47393d56b99f"]}],"mendeley":{"formattedCitation":"(Batstone et al. 2009)","plainTextFormattedCitation":"(Batstone et al. 2009)","previouslyFormattedCitation":"(Batstone et al. 2009)"},"properties":{"noteIndex":0},"schema":"https://github.com/citation-style-language/schema/raw/master/csl-citation.json"}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(Batstone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2009)</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r w:rsidRPr="00686018">
        <w:rPr>
          <w:rFonts w:ascii="Times New Roman" w:hAnsi="Times New Roman" w:cs="Times New Roman"/>
          <w:color w:val="000000" w:themeColor="text1"/>
          <w:sz w:val="24"/>
          <w:szCs w:val="24"/>
        </w:rPr>
        <w:t xml:space="preserve"> La codigestión anaerobia favorece la biodegradabilidad de los sustratos, dependiendo de su concentración en celulosa, hemicelulosa y lignina (</w:t>
      </w:r>
      <w:r w:rsidRPr="00686018">
        <w:rPr>
          <w:rFonts w:ascii="Times New Roman" w:hAnsi="Times New Roman" w:cs="Times New Roman"/>
          <w:b/>
          <w:color w:val="000000" w:themeColor="text1"/>
          <w:sz w:val="24"/>
          <w:szCs w:val="24"/>
        </w:rPr>
        <w:t>Figura 9</w:t>
      </w:r>
      <w:r w:rsidRPr="00686018">
        <w:rPr>
          <w:rFonts w:ascii="Times New Roman" w:hAnsi="Times New Roman" w:cs="Times New Roman"/>
          <w:color w:val="000000" w:themeColor="text1"/>
          <w:sz w:val="24"/>
          <w:szCs w:val="24"/>
        </w:rPr>
        <w:t xml:space="preserve">); la codigestión de celulosa y hemicelulosa tiene una alta biodegradabilidad. La mescla de celulosa y hemicelulosa resulta en un balance de nutrientes, el cual facilita el crecimiento de varias bacterias involucradas en el proceso de DA. Sin embargo, un alto contenido de lignina en los sustratos desfavorece la BD, la lignina es un obstáculo para la BD de la biomasa lignocelulosica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{"citationItems":[{"id":"ITEM-1","itemData":{"DOI":"10.1016/j.enconman.2017.08.002","ISSN":"01968904","abstract":"A large amount of sheep dung (SD) produced on farms in China is a potential feedstock for production of clean energy in the form of biogas. Similarly, waste paper can be a notable energy source that is worth exploiting. In this study, we assessed the feasibility of co-digesting nitrogen-rich SD with the carbon-rich corrugated board (CB) or waste office paper (OP) in varying volatile solids (VS) ratios, to produce methane. Synergistic effect of co-digesting SD with CB and SD with OP on methane production was found in this study. The highest methane yields of 151.62 and 198.85 mL/g-VS were obtained during the co-digestions of SD with CB at 4:1 ratio (SDCB) and SD with OP at 2:3 ratio (SDOP), respectively. High-throughput 16 S rRNA gene sequencing demonstrated that the microbial diversity and richness in SDCB and SDOP co-digests were higher than in SD and OP mono-digests, respectively. Characteristic bacteria and archaea in the digests were strongly substrate-related and might contribute to methane production. The validated results indicated that methane production through anaerobic co-digestion of SD and waste paper can be an efficient way that could not only reduce environmental pollution but also contribute to methane production.","author":[{"dropping-particle":"","family":"Li","given":"Wanwu","non-dropping-particle":"","parse-names":false,"suffix":""},{"dropping-particle":"","family":"Siddhu","given":"Muhammad Abdul Hanan","non-dropping-particle":"","parse-names":false,"suffix":""},{"dropping-particle":"","family":"Amin","given":"Farrukh Raza","non-dropping-particle":"","parse-names":false,"suffix":""},{"dropping-particle":"","family":"He","given":"Yanfeng","non-dropping-particle":"","parse-names":false,"suffix":""},{"dropping-particle":"","family":"Zhang","given":"Ruihong","non-dropping-particle":"","parse-names":false,"suffix":""},{"dropping-particle":"","family":"Liu","given":"Guangqing","non-dropping-particle":"","parse-names":false,"suffix":""},{"dropping-particle":"","family":"Chen","given":"Chang","non-dropping-particle":"","parse-names":false,"suffix":""}],"container-title":"Energy Conversion and Management","id":"ITEM-1","issue":"July 2017","issued":{"date-parts":[["2018"]]},"page":"279-287","publisher":"Elsevier","title":"Methane production through anaerobic co-digestion of sheep dung and waste paper","type":"article-journal","volume":"156"},"uris":["http://www.mendeley.com/documents/?uuid=6b4c9aef-a4a2-40e5-97cf-9b1ff148c536"]}],"mendeley":{"formattedCitation":"(Li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(Li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p>
    <w:p w:rsidR="00DF46F4" w:rsidRPr="00686018" w:rsidRDefault="00DF46F4" w:rsidP="00B46DDC">
      <w:pPr>
        <w:spacing w:before="360" w:after="360"/>
        <w:jc w:val="center"/>
        <w:rPr>
          <w:rFonts w:ascii="Times New Roman" w:hAnsi="Times New Roman" w:cs="Times New Roman"/>
          <w:color w:val="000000" w:themeColor="text1"/>
          <w:sz w:val="24"/>
          <w:szCs w:val="24"/>
        </w:rPr>
      </w:pPr>
      <w:r w:rsidRPr="00686018">
        <w:rPr>
          <w:rFonts w:ascii="Times New Roman" w:hAnsi="Times New Roman" w:cs="Times New Roman"/>
          <w:noProof/>
          <w:lang w:eastAsia="es-EC"/>
        </w:rPr>
        <w:drawing>
          <wp:inline distT="0" distB="0" distL="0" distR="0" wp14:anchorId="3A782A59" wp14:editId="2EFD70D3">
            <wp:extent cx="4572000" cy="2743200"/>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F46F4" w:rsidRPr="00686018" w:rsidRDefault="00B639AA" w:rsidP="00A31608">
      <w:pPr>
        <w:pStyle w:val="Descripcin"/>
        <w:jc w:val="center"/>
        <w:rPr>
          <w:rFonts w:ascii="Times New Roman" w:hAnsi="Times New Roman" w:cs="Times New Roman"/>
          <w:i w:val="0"/>
          <w:color w:val="auto"/>
        </w:rPr>
      </w:pPr>
      <w:bookmarkStart w:id="122" w:name="_Toc9537877"/>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9</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Biodegradabilidad de sustratos (celulosa microcristalina (MC), α-celulosa (α-C), Xileno (XY), glucomano (GM) y arabinogalactano (AG), lignina (LI).</w:t>
      </w:r>
      <w:bookmarkEnd w:id="122"/>
    </w:p>
    <w:p w:rsidR="00DF46F4" w:rsidRPr="00686018" w:rsidRDefault="00DF46F4" w:rsidP="00A31608">
      <w:pPr>
        <w:pStyle w:val="Descripcin"/>
        <w:jc w:val="center"/>
        <w:rPr>
          <w:rFonts w:ascii="Times New Roman" w:hAnsi="Times New Roman" w:cs="Times New Roman"/>
          <w:i w:val="0"/>
          <w:color w:val="auto"/>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 xml:space="preserve">Elaborado con base en </w:t>
      </w:r>
      <w:r w:rsidRPr="00686018">
        <w:rPr>
          <w:rFonts w:ascii="Times New Roman" w:hAnsi="Times New Roman" w:cs="Times New Roman"/>
          <w:i w:val="0"/>
          <w:color w:val="auto"/>
          <w:szCs w:val="24"/>
        </w:rPr>
        <w:fldChar w:fldCharType="begin" w:fldLock="1"/>
      </w:r>
      <w:r w:rsidRPr="00686018">
        <w:rPr>
          <w:rFonts w:ascii="Times New Roman" w:hAnsi="Times New Roman" w:cs="Times New Roman"/>
          <w:i w:val="0"/>
          <w:color w:val="auto"/>
          <w:szCs w:val="24"/>
        </w:rPr>
        <w:instrText>ADDIN CSL_CITATION {"citationItems":[{"id":"ITEM-1","itemData":{"DOI":"10.1016/j.enconman.2017.08.002","ISSN":"01968904","abstract":"A large amount of sheep dung (SD) produced on farms in China is a potential feedstock for production of clean energy in the form of biogas. Similarly, waste paper can be a notable energy source that is worth exploiting. In this study, we assessed the feasibility of co-digesting nitrogen-rich SD with the carbon-rich corrugated board (CB) or waste office paper (OP) in varying volatile solids (VS) ratios, to produce methane. Synergistic effect of co-digesting SD with CB and SD with OP on methane production was found in this study. The highest methane yields of 151.62 and 198.85 mL/g-VS were obtained during the co-digestions of SD with CB at 4:1 ratio (SDCB) and SD with OP at 2:3 ratio (SDOP), respectively. High-throughput 16 S rRNA gene sequencing demonstrated that the microbial diversity and richness in SDCB and SDOP co-digests were higher than in SD and OP mono-digests, respectively. Characteristic bacteria and archaea in the digests were strongly substrate-related and might contribute to methane production. The validated results indicated that methane production through anaerobic co-digestion of SD and waste paper can be an efficient way that could not only reduce environmental pollution but also contribute to methane production.","author":[{"dropping-particle":"","family":"Li","given":"Wanwu","non-dropping-particle":"","parse-names":false,"suffix":""},{"dropping-particle":"","family":"Siddhu","given":"Muhammad Abdul Hanan","non-dropping-particle":"","parse-names":false,"suffix":""},{"dropping-particle":"","family":"Amin","given":"Farrukh Raza","non-dropping-particle":"","parse-names":false,"suffix":""},{"dropping-particle":"","family":"He","given":"Yanfeng","non-dropping-particle":"","parse-names":false,"suffix":""},{"dropping-particle":"","family":"Zhang","given":"Ruihong","non-dropping-particle":"","parse-names":false,"suffix":""},{"dropping-particle":"","family":"Liu","given":"Guangqing","non-dropping-particle":"","parse-names":false,"suffix":""},{"dropping-particle":"","family":"Chen","given":"Chang","non-dropping-particle":"","parse-names":false,"suffix":""}],"container-title":"Energy Conversion and Management","id":"ITEM-1","issue":"July 2017","issued":{"date-parts":[["2018"]]},"page":"279-287","publisher":"Elsevier","title":"Methane production through anaerobic co-digestion of sheep dung and waste paper","type":"article-journal","volume":"156"},"uris":["http://www.mendeley.com/documents/?uuid=6b4c9aef-a4a2-40e5-97cf-9b1ff148c536"]}],"mendeley":{"formattedCitation":"(Li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i w:val="0"/>
          <w:color w:val="auto"/>
          <w:szCs w:val="24"/>
        </w:rPr>
        <w:fldChar w:fldCharType="separate"/>
      </w:r>
      <w:r w:rsidRPr="00686018">
        <w:rPr>
          <w:rFonts w:ascii="Times New Roman" w:hAnsi="Times New Roman" w:cs="Times New Roman"/>
          <w:i w:val="0"/>
          <w:noProof/>
          <w:color w:val="auto"/>
          <w:szCs w:val="24"/>
        </w:rPr>
        <w:t xml:space="preserve">(Li </w:t>
      </w:r>
      <w:r w:rsidR="00C80D09">
        <w:rPr>
          <w:rFonts w:ascii="Times New Roman" w:hAnsi="Times New Roman" w:cs="Times New Roman"/>
          <w:i w:val="0"/>
          <w:noProof/>
          <w:color w:val="auto"/>
          <w:szCs w:val="24"/>
        </w:rPr>
        <w:t>et al.,</w:t>
      </w:r>
      <w:r w:rsidRPr="00686018">
        <w:rPr>
          <w:rFonts w:ascii="Times New Roman" w:hAnsi="Times New Roman" w:cs="Times New Roman"/>
          <w:i w:val="0"/>
          <w:noProof/>
          <w:color w:val="auto"/>
          <w:szCs w:val="24"/>
        </w:rPr>
        <w:t xml:space="preserve"> 2018)</w:t>
      </w:r>
      <w:r w:rsidRPr="00686018">
        <w:rPr>
          <w:rFonts w:ascii="Times New Roman" w:hAnsi="Times New Roman" w:cs="Times New Roman"/>
          <w:i w:val="0"/>
          <w:color w:val="auto"/>
          <w:szCs w:val="24"/>
        </w:rPr>
        <w:fldChar w:fldCharType="end"/>
      </w:r>
    </w:p>
    <w:p w:rsidR="00DF46F4" w:rsidRPr="00686018" w:rsidRDefault="00DF46F4" w:rsidP="00A31608">
      <w:p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lastRenderedPageBreak/>
        <w:t xml:space="preserve">La biodegradabilidad decrece con el incremento en el contenido de lignina de los sustratos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{"citationItems":[{"id":"ITEM-1","itemData":{"DOI":"10.1016/j.apenergy.2018.05.055","ISSN":"03062619","abstract":"Lignocellulosic biomass is the most abundant natural resource with high biomethane potential. However, complex structure of lignocellulosic biomass has hampered the efficient utilization of this bioresource. Previous studies have investigated the overall anaerobic digestion performance of lignocellulosic biomass, but the individual participation of each lignocellulosic component during anaerobic digestion remained unclear. Thus, this study investigated the methane production characteristics of cellulose, hemicellulose, lignin and their mixtures along with the microbial communities involved in anaerobic digestion. The results showed that the biomethane potential of cellulose was higher than that of hemicellulose; however, hemicellulose was hydrolysed more quickly than cellulose, while lignin was very difficult to be digested. The higher concentrations of acetic, n-butyric and n-valeric acids hydrolysed from the hemicellulose resulted in a lower pH and more severe inhibition on methane production than that of cellulose, and the methanogenesis gradually recovered after pH adjustment. The co-digestion of cellulose and hemicellulose increased the methane yield and biodegradability compared to mono-digestions. The addition of lignin to cellulose brought more significant decrease in the methane yield of cellulose than that of hemicellulose. Substrate-related bacteria such as Clostridium sensu stricto, Lutaonella, Cloacibacillus and Christensenella showed higher relative abundance in cellulose digestate, and sugar-fermenting bacteria such as Saccharofermentans, Petrimonas and Levilinea were more rich in the digestate of hemicellulose. Moreover, methanogenic Methanospirillum and Methanothrix likely contributed to the methane production of cellulose, while aciduric methanogens from Methanobrevibacter, Methanomassiliicoccus, Methanobacterium and Methanoculleus contributed to that of hemicellulose. This study provides a deeper understanding of the mechanism in the bioconversion of lignocellulosic biomass during anaerobic digestion.","author":[{"dropping-particle":"","family":"Li","given":"Wanwu","non-dropping-particle":"","parse-names":false,"suffix":""},{"dropping-particle":"","family":"Khalid","given":"Habiba","non-dropping-particle":"","parse-names":false,"suffix":""},{"dropping-particle":"","family":"Zhu","given":"Zhe","non-dropping-particle":"","parse-names":false,"suffix":""},{"dropping-particle":"","family":"Zhang","given":"Ruihong","non-dropping-particle":"","parse-names":false,"suffix":""},{"dropping-particle":"","family":"Liu","given":"Guangqing","non-dropping-particle":"","parse-names":false,"suffix":""},{"dropping-particle":"","family":"Chen","given":"Chang","non-dropping-particle":"","parse-names":false,"suffix":""},{"dropping-particle":"","family":"Thorin","given":"Eva","non-dropping-particle":"","parse-names":false,"suffix":""}],"container-title":"Applied Energy","id":"ITEM-1","issue":"January","issued":{"date-parts":[["2018"]]},"page":"1219-1228","publisher":"Elsevier","title":"Methane production through anaerobic digestion: Participation and digestion characteristics of cellulose, hemicellulose and lignin","type":"article-journal","volume":"226"},"uris":["http://www.mendeley.com/documents/?uuid=2eb49bb9-8c84-4db0-a914-f1078ce8f857"]}],"mendeley":{"formattedCitation":"(Li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(Li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2018)</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23" w:name="_Toc534817432"/>
      <w:bookmarkStart w:id="124" w:name="_Toc534817740"/>
      <w:bookmarkStart w:id="125" w:name="_Toc535410443"/>
      <w:bookmarkStart w:id="126" w:name="_Toc9537800"/>
      <w:r w:rsidRPr="00686018">
        <w:rPr>
          <w:rFonts w:ascii="Times New Roman" w:hAnsi="Times New Roman" w:cs="Times New Roman"/>
          <w:i w:val="0"/>
        </w:rPr>
        <w:t>Inóculo</w:t>
      </w:r>
      <w:bookmarkEnd w:id="123"/>
      <w:bookmarkEnd w:id="124"/>
      <w:bookmarkEnd w:id="125"/>
      <w:bookmarkEnd w:id="126"/>
    </w:p>
    <w:p w:rsidR="00DF46F4" w:rsidRPr="00686018" w:rsidRDefault="00DF46F4" w:rsidP="00A31608">
      <w:p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El inóculo puede provenir de varias fuentes: de los digestores anaeróbicos de las plantas de tratamiento de aguas residuales, lodo granular procedente de los reactores anaerobios, del rumen y del estiércol de animales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{"citationItems":[{"id":"ITEM-1","itemData":{"DOI":"10.5713/ajas.2013.13537","ISBN":"1011-2367\r1976-5517","ISSN":"10112367","PMID":"25049994","abstract":"The aim of this study was to assess the effect of substrate to inoculum ratio (S/I ratio) on the biochemical methane potential (BMP) and anaerobic biodegradability (Ddeg) of different piggery slaughterhouse wastes, such as piggery blood, intestine residue, and digestive tract content. These wastes were sampled from a piggery slaughterhouse located in Kimje, South Korea. Cumulative methane production curves for the wastes were obtained from the anaerobic batch fermentation having different S/I ratios of 0.1, 0.5, 1.0, and 1.5. BMP and anaerobic biodegradabilities (Ddeg) of the wastes were calculated from cumulative methane production data for the tested conditions. At the lowest S/I ration of 0.1, BMPs of piggery blood, intestine residue, and digestive tract content were determined to be 0.799, 0.848, and 1.076 Nm(3) kg(-1)-VSadded, respectively, which were above the theoretical methane potentials of 0.539, 0.644, and 0.517 Nm(3) kg(-1)-VSadded for blood, intestine residue, and digestive tract content, respectively. However, BMPs obtained from the higher S/I ratios of 0.5, 1.0, and 1.5 were within the theoretical range for all three types of waste and were not significantly different for the different S/I ratios tested. Anaerobic biodegradabilities calculated from BMP data showed a similar tendency. These results imply that, for BMP assay in an anaerobic reactor, the S/I ratio of anaerobic reactor should be above 0.1 and the inoculum should be sufficiently stabilized to avoid further degradation during the assay.","author":[{"dropping-particle":"","family":"Yoon","given":"Young Man","non-dropping-particle":"","parse-names":false,"suffix":""},{"dropping-particle":"","family":"Kim","given":"Seung Hwan","non-dropping-particle":"","parse-names":false,"suffix":""},{"dropping-particle":"","family":"Shin","given":"Kook Sik","non-dropping-particle":"","parse-names":false,"suffix":""},{"dropping-particle":"","family":"Kim","given":"Chang Hyun","non-dropping-particle":"","parse-names":false,"suffix":""}],"container-title":"Asian-Australasian Journal of Animal Sciences","id":"ITEM-1","issue":"4","issued":{"date-parts":[["2014"]]},"page":"600-607","title":"Effects of substrate to inoculum ratio on the biochemical methane potential of piggery slaughterhouse wastes","type":"article-journal","volume":"27"},"uris":["http://www.mendeley.com/documents/?uuid=a471d2f9-773a-4828-9eb1-6c7784e4d542"]}],"mendeley":{"formattedCitation":"(Yoon et al. 2014)","plainTextFormattedCitation":"(Yoon et al. 2014)","previouslyFormattedCitation":"(Yoon et al. 2014)"},"properties":{"noteIndex":0},"schema":"https://github.com/citation-style-language/schema/raw/master/csl-citation.json"}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(Yoon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2014)</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Fuentes diferentes de inóculo podrían tener diferentes poblaciones bacterianas, adaptación al sustrato, y biodegradabilidad anaeróbica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{"citationItems":[{"id":"ITEM-1","itemData":{"DOI":"10.1007/s12010-013-0335-7","ISBN":"0273-2289","ISSN":"02732289","PMID":"23817784","abstract":"In order to investigate the effects of inoculum source and pre-incubation on methane production performance of chicken manure (CM) and corn stover (CS), two sets of bio-methane potential tests using non- and pre-incubated inocula (digested sludge from a municipal wastewater treatment plant (DSMW) and digested sludge from a chicken manure treatment plant (DSCM)) were conducted at 37 °C. Modified Gompertz and first-order models were used to evaluate the kinetic parameters. The results revealed that DSMW was better than DSCM in digesting organic substrates (CM and CS), since the average ultimate methane yields were 351 mL g(-1) volatile solid (VS)added for CM and 300 mL g(-1) VSadded for CS when DSMW was used as inoculum, and 298 mL g(-1) VSadded for CM and 218 mL g(-1) VSadded for CS when DSCM was used as inoculum, respectively. Nevertheless, there was no significant difference (p &gt; 0.05) in the ultimate methane yields between non- and pre-incubated inoculum for digesting CM and CS, regardless of the inoculum source. However, when evaluating the kinetic parameters of anaerobic digestion, the correlation coefficient, maximal methane production rate, and hydrolysis rate constant were slightly higher using pre-incubated inoculum as compared to non-incubated inoculum.","author":[{"dropping-particle":"","family":"Li","given":"Yeqing","non-dropping-particle":"","parse-names":false,"suffix":""},{"dropping-particle":"","family":"Feng","given":"Lu","non-dropping-particle":"","parse-names":false,"suffix":""},{"dropping-particle":"","family":"Zhang","given":"Ruihong","non-dropping-particle":"","parse-names":false,"suffix":""},{"dropping-particle":"","family":"He","given":"Yanfeng","non-dropping-particle":"","parse-names":false,"suffix":""},{"dropping-particle":"","family":"Liu","given":"Xiaoying","non-dropping-particle":"","parse-names":false,"suffix":""},{"dropping-particle":"","family":"Xiao","given":"Xiao","non-dropping-particle":"","parse-names":false,"suffix":""},{"dropping-particle":"","family":"Ma","given":"Xinxin","non-dropping-particle":"","parse-names":false,"suffix":""},{"dropping-particle":"","family":"Chen","given":"Chang","non-dropping-particle":"","parse-names":false,"suffix":""},{"dropping-particle":"","family":"Liu","given":"Guangqing","non-dropping-particle":"","parse-names":false,"suffix":""}],"container-title":"Applied Biochemistry and Biotechnology","id":"ITEM-1","issue":"1","issued":{"date-parts":[["2013"]]},"page":"117-127","title":"Influence of inoculum source and pre-incubation on bio-methane potential of chicken manure and corn stover","type":"article-journal","volume":"171"},"uris":["http://www.mendeley.com/documents/?uuid=2ba6246e-93bc-4747-8e05-74e103f89b2f"]}],"mendeley":{"formattedCitation":"(Li et al. 2013)","plainTextFormattedCitation":"(Li et al. 2013)","previouslyFormattedCitation":"(Li et al. 2013)"},"properties":{"noteIndex":0},"schema":"https://github.com/citation-style-language/schema/raw/master/csl-citation.json"}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(Li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2013)</w:t>
      </w:r>
      <w:r w:rsidRPr="00686018">
        <w:rPr>
          <w:rFonts w:ascii="Times New Roman" w:hAnsi="Times New Roman" w:cs="Times New Roman"/>
          <w:sz w:val="24"/>
          <w:szCs w:val="24"/>
        </w:rPr>
        <w:fldChar w:fldCharType="end"/>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t xml:space="preserve">Ya sea que el inóculo provenga de un reactor mesofilico o termofilico, este se usa dependiendo de la temperatura de ensayo a llevarse a cabo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(Angelidaki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2009)</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w:t>
      </w:r>
    </w:p>
    <w:p w:rsidR="00DF46F4" w:rsidRPr="00686018" w:rsidRDefault="00DF46F4" w:rsidP="00A31608">
      <w:p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El volumen relativo de inóculo a ser usada depende de la concentración de biomasa y actividad del inóculo, así como también de la concentración del sustrato y su biodegradabilidad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(Angelidaki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2009)</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El volumen de inóculo a ser usado es bajo, cuando este contiene una cantidad concentrada de microorganismos activos, por otro lado, un volumen mayor de inóculo (lodo de aguas residuales, residuo de digestatos) es necesario cuando la densidad microbiana es menor. La cantidad de inóculo debe ser suficiente para prevenir la acumulación de ácidos grasos volátiles y condiciones acidas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(Angelidaki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2009)</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27" w:name="_Toc535410453"/>
      <w:bookmarkStart w:id="128" w:name="_Toc9537801"/>
      <w:r w:rsidRPr="00686018">
        <w:rPr>
          <w:rFonts w:ascii="Times New Roman" w:hAnsi="Times New Roman" w:cs="Times New Roman"/>
          <w:i w:val="0"/>
        </w:rPr>
        <w:t>Razón de Sustrato a Inóculo</w:t>
      </w:r>
      <w:bookmarkEnd w:id="127"/>
      <w:bookmarkEnd w:id="128"/>
    </w:p>
    <w:p w:rsidR="00DF46F4" w:rsidRPr="00686018" w:rsidRDefault="00DF46F4" w:rsidP="00A31608">
      <w:pPr>
        <w:jc w:val="both"/>
        <w:rPr>
          <w:rFonts w:ascii="Times New Roman" w:hAnsi="Times New Roman" w:cs="Times New Roman"/>
          <w:color w:val="000000" w:themeColor="text1"/>
          <w:sz w:val="24"/>
          <w:szCs w:val="24"/>
        </w:rPr>
      </w:pPr>
      <w:r w:rsidRPr="00686018">
        <w:rPr>
          <w:rFonts w:ascii="Times New Roman" w:hAnsi="Times New Roman" w:cs="Times New Roman"/>
          <w:sz w:val="24"/>
          <w:szCs w:val="24"/>
        </w:rPr>
        <w:t xml:space="preserve">La relación sustrato/inóculo (S/I) se expresa generalmente en términos de los SV (gSVsustrato/gSVinóculo); incluso en algunos estudios se presenta como la relación I/S, la cual es equivalente al valor inverso de la relación S/I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{"citationItems":[{"id":"ITEM-1","itemData":{"DOI":"10.1016/j.nedt.2015.08.004","ISBN":"1692-9918","ISSN":"1692-9918","abstract":"La Actividad Metanogénica Específica (AME) permite cuantificar la máxima capacidad de producción de metano por el grupo de microorganismos presente en lodos anaerobios. La AME, además de ser usada para el monitoreo de la calidad del lodo en reactores anaerobios, es una herramienta que evalúa el comportamiento de la biomasa contaminada y determina la carga orgánica máxima que puede aplicarse a un sistema, con el fin de examinar la degradabilidad de los sustratos y la posibilidad de selección de inóculos. Esta herramienta, ampliamente utilizada en diferentes países y desarrollada hace más de dos décadas, no cuenta con un protocolo estandarizado que facilite la comparación de resultados. El presente artículo hace una reflexión y descripción crítica de la metodología AME, soportada por experiencias nacionales e internacionales, con el objetivo de buscar uniformidad en la aplicación del método a nivel nacional.","author":[{"dropping-particle":"","family":"Torres","given":"Paricia","non-dropping-particle":"","parse-names":false,"suffix":""},{"dropping-particle":"","family":"Perez","given":"Andrea","non-dropping-particle":"","parse-names":false,"suffix":""}],"container-title":"Ingeniería de Recursos Naturales y del Ambiente","id":"ITEM-1","issued":{"date-parts":[["2010"]]},"page":"5-14","title":"Actividad Metanogénica específica: una herramienta de control y optimización de sistemas de tratamiento anaerobio de aguas residuales","type":"article-journal","volume":"9"},"uris":["http://www.mendeley.com/documents/?uuid=db473224-bd74-4c92-b179-50ff24092087"]}],"mendeley":{"formattedCitation":"(Torres y Perez 2010)","plainTextFormattedCitation":"(Torres y Perez 2010)","previouslyFormattedCitation":"(Torres y Perez 2010)"},"properties":{"noteIndex":0},"schema":"https://github.com/citation-style-language/schema/raw/master/csl-citation.json"}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(Torres y Perez 2010)</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La relación S/I recomendada depende del tipo de sustrato e inóculo y se debe evaluar para cada caso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{"citationItems":[{"id":"ITEM-1","itemData":{"DOI":"10.20937/RICA.2017.33.01.10","ISSN":"01884999","abstract":"Hoy en día se necesitan nuevas fuentes de producción de energía. Además, hay un incremento de los residuos agrícolas que representan un problema ambiental. El propósito del presente estudio fue comparar la digestión anaerobia de excretas de borrego con la codigestión anaerobia de excretas de borrego más lodos de aguas residuales y la codigestión anaerobia de excretas de borrego más rumen. Los resultados mostraron que el tratamiento T1 (excretas de borrego-lodos de aguas residuales), produjo una menor cantidad de biogás, 35.47 L, comparado con el tratamiento T2 (excretas de borrego-rumen) y el tratamiento T3 (excretas de borrego), con 42.14 L y 43.83 L respectivamente. El análisis estadístico de la composición de biogás mostró que los valores de CH4 y CO2, no fueron significativamente diferentes (P = 0.5660 y 0.2589). Los valores de H2S (P = 0.0379), mostraron que la concentración fue menor en el tratamiento T1 que en el tratamiento T3. Si los residuos agrícolas son utilizados apropiadamente con codigestión anaerobia pueden ser convertidos en energía.","author":[{"dropping-particle":"","family":"Sarabia Méndez","given":"Marco Antonio","non-dropping-particle":"","parse-names":false,"suffix":""},{"dropping-particle":"","family":"Laines Canepa","given":"José Ramón","non-dropping-particle":"","parse-names":false,"suffix":""},{"dropping-particle":"","family":"Sosa Olivier","given":"José Aurelio","non-dropping-particle":"","parse-names":false,"suffix":""},{"dropping-particle":"","family":"Escalante Espinosa","given":"Erika","non-dropping-particle":"","parse-names":false,"suffix":""}],"container-title":"Revista Internacional de Contaminacion Ambiental","id":"ITEM-1","issue":"1","issued":{"date-parts":[["2017"]]},"page":"109-116","title":"ProducciÓn de biogÁs mediante codigestiÓn anaerobia de excretas de borrego y rumen adicionadas con lodos procedentes de una planta de aguas residuales","type":"article-journal","volume":"33"},"uris":["http://www.mendeley.com/documents/?uuid=f824fc34-5534-4bf9-b4b6-f4637cd3d770"]}],"mendeley":{"formattedCitation":"(Sarabia Méndez et al. 2017)","plainTextFormattedCitation":"(Sarabia Méndez et al. 2017)","previouslyFormattedCitation":"(Sarabia Méndez et al. 2017)"},"properties":{"noteIndex":0},"schema":"https://github.com/citation-style-language/schema/raw/master/csl-citation.json"}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(Sarabia Méndez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2017)</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siendo las relaciones más empleadas inferiores o iguales a 0,5-1,0; sin embargo, </w:t>
      </w:r>
      <w:r w:rsidRPr="00686018">
        <w:rPr>
          <w:rFonts w:ascii="Times New Roman" w:hAnsi="Times New Roman" w:cs="Times New Roman"/>
          <w:sz w:val="24"/>
          <w:szCs w:val="24"/>
        </w:rPr>
        <w:fldChar w:fldCharType="begin" w:fldLock="1"/>
      </w:r>
      <w:r w:rsidRPr="00686018">
        <w:rPr>
          <w:rFonts w:ascii="Times New Roman" w:hAnsi="Times New Roman" w:cs="Times New Roman"/>
          <w:sz w:val="24"/>
          <w:szCs w:val="24"/>
        </w:rPr>
        <w:instrText>ADDIN CSL_CITATION {"citationItems":[{"id":"ITEM-1","itemData":{"DOI":"10.1016/j.procbio.2009.11.018","ISBN":"1359-5113","ISSN":"13595113","abstract":"The characterization of solid wastes is a necessary step before they can be used in anaerobic digestion. The quantities of different compounds (carbohydrates, proteins, lipids and fibers) and anaerobic biodegradability (capacity to produce methane) are important information required to characterize waste. The Biochemical Methane Potential (BMP) test is one of the most relevant tests for assessing the biodegradability of waste materials. The BMP test is run under anaerobic conditions, using bacteria populations, which makes it very time consuming, i.e., about 30 days. This paper presents alternative methods for determining the anaerobic biodegradability of solid waste. First, we describe the already existing tests for characterizing organic matter. Then we correlate an aerobic test with an anaerobic test in order to estimate anaerobic biodegradability and biogas production. This shortens the analysis time to 5 days. Models using physico-chemical characteristics as input data (total carbohydrate, total nitrogen, fiber, etc.) can predict the amount of methane produced by correlation. Pyrolysis is a very fast analytical test that can be used to characterize solid waste. Lastly, spectroscopy techniques seem to be useful for determining biodegradability, in particular by taking into account the interaction between different molecules in the organic matter. © 2009 Elsevier Ltd. All rights reserved.","author":[{"dropping-particle":"","family":"Lesteur","given":"M.","non-dropping-particle":"","parse-names":false,"suffix":""},{"dropping-particle":"","family":"Bellon-Maurel","given":"V.","non-dropping-particle":"","parse-names":false,"suffix":""},{"dropping-particle":"","family":"Gonzalez","given":"C.","non-dropping-particle":"","parse-names":false,"suffix":""},{"dropping-particle":"","family":"Latrille","given":"E.","non-dropping-particle":"","parse-names":false,"suffix":""},{"dropping-particle":"","family":"Roger","given":"J. M.","non-dropping-particle":"","parse-names":false,"suffix":""},{"dropping-particle":"","family":"Junqua","given":"G.","non-dropping-particle":"","parse-names":false,"suffix":""},{"dropping-particle":"","family":"Steyer","given":"J. P.","non-dropping-particle":"","parse-names":false,"suffix":""}],"container-title":"Process Biochemistry","id":"ITEM-1","issue":"4","issued":{"date-parts":[["2010"]]},"page":"431-440","publisher":"Elsevier Ltd","title":"Alternative methods for determining anaerobic biodegradability: A review","type":"article-journal","volume":"45"},"uris":["http://www.mendeley.com/documents/?uuid=e7910a97-ee75-41a9-85b9-48bc0736d461"]}],"mendeley":{"formattedCitation":"(Lesteur et al. 2010)","plainTextFormattedCitation":"(Lesteur et al. 2010)","previouslyFormattedCitation":"(Lesteur et al. 2010)"},"properties":{"noteIndex":0},"schema":"https://github.com/citation-style-language/schema/raw/master/csl-citation.json"}</w:instrText>
      </w:r>
      <w:r w:rsidRPr="00686018">
        <w:rPr>
          <w:rFonts w:ascii="Times New Roman" w:hAnsi="Times New Roman" w:cs="Times New Roman"/>
          <w:sz w:val="24"/>
          <w:szCs w:val="24"/>
        </w:rPr>
        <w:fldChar w:fldCharType="separate"/>
      </w:r>
      <w:r w:rsidRPr="00686018">
        <w:rPr>
          <w:rFonts w:ascii="Times New Roman" w:hAnsi="Times New Roman" w:cs="Times New Roman"/>
          <w:noProof/>
          <w:sz w:val="24"/>
          <w:szCs w:val="24"/>
        </w:rPr>
        <w:t xml:space="preserve">(Lesteur </w:t>
      </w:r>
      <w:r w:rsidR="00C80D09">
        <w:rPr>
          <w:rFonts w:ascii="Times New Roman" w:hAnsi="Times New Roman" w:cs="Times New Roman"/>
          <w:noProof/>
          <w:sz w:val="24"/>
          <w:szCs w:val="24"/>
        </w:rPr>
        <w:t>et al.,</w:t>
      </w:r>
      <w:r w:rsidRPr="00686018">
        <w:rPr>
          <w:rFonts w:ascii="Times New Roman" w:hAnsi="Times New Roman" w:cs="Times New Roman"/>
          <w:noProof/>
          <w:sz w:val="24"/>
          <w:szCs w:val="24"/>
        </w:rPr>
        <w:t xml:space="preserve"> 2010)</w:t>
      </w:r>
      <w:r w:rsidRPr="00686018">
        <w:rPr>
          <w:rFonts w:ascii="Times New Roman" w:hAnsi="Times New Roman" w:cs="Times New Roman"/>
          <w:sz w:val="24"/>
          <w:szCs w:val="24"/>
        </w:rPr>
        <w:fldChar w:fldCharType="end"/>
      </w:r>
      <w:r w:rsidRPr="00686018">
        <w:rPr>
          <w:rFonts w:ascii="Times New Roman" w:hAnsi="Times New Roman" w:cs="Times New Roman"/>
          <w:sz w:val="24"/>
          <w:szCs w:val="24"/>
        </w:rPr>
        <w:t xml:space="preserve"> afirman que cada sustrato tiene una relación</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t>S/I óptima, considerando la producción potencial</w:t>
      </w:r>
      <w:r w:rsidRPr="00686018">
        <w:rPr>
          <w:rFonts w:ascii="Times New Roman" w:hAnsi="Times New Roman" w:cs="Times New Roman"/>
          <w:color w:val="FF0000"/>
          <w:sz w:val="24"/>
          <w:szCs w:val="24"/>
        </w:rPr>
        <w:t xml:space="preserve"> </w:t>
      </w:r>
      <w:r w:rsidRPr="00686018">
        <w:rPr>
          <w:rFonts w:ascii="Times New Roman" w:hAnsi="Times New Roman" w:cs="Times New Roman"/>
          <w:sz w:val="24"/>
          <w:szCs w:val="24"/>
        </w:rPr>
        <w:t xml:space="preserve">de AGV y su capacidad de amortiguamiento. </w:t>
      </w:r>
    </w:p>
    <w:p w:rsidR="00DF46F4" w:rsidRPr="00686018" w:rsidRDefault="00DF46F4" w:rsidP="00A31608">
      <w:pPr>
        <w:jc w:val="both"/>
        <w:rPr>
          <w:rFonts w:ascii="Times New Roman" w:hAnsi="Times New Roman" w:cs="Times New Roman"/>
          <w:color w:val="000000" w:themeColor="text1"/>
          <w:sz w:val="24"/>
          <w:szCs w:val="24"/>
        </w:rPr>
      </w:pPr>
      <w:r w:rsidRPr="00686018">
        <w:rPr>
          <w:rFonts w:ascii="Times New Roman" w:hAnsi="Times New Roman" w:cs="Times New Roman"/>
          <w:color w:val="000000" w:themeColor="text1"/>
          <w:sz w:val="24"/>
          <w:szCs w:val="24"/>
        </w:rPr>
        <w:t xml:space="preserve">Al emplear inóculo proveniente de plantas de tratamiento de aguas residuales el rendimiento acumulado de metano se reduce al disminuir la cantidad de inóculo añadido con respecto al sustrato. </w:t>
      </w:r>
      <w:r w:rsidRPr="00686018">
        <w:rPr>
          <w:rFonts w:ascii="Times New Roman" w:hAnsi="Times New Roman" w:cs="Times New Roman"/>
          <w:color w:val="000000" w:themeColor="text1"/>
          <w:sz w:val="24"/>
          <w:szCs w:val="24"/>
        </w:rPr>
        <w:fldChar w:fldCharType="begin" w:fldLock="1"/>
      </w:r>
      <w:r w:rsidRPr="00686018">
        <w:rPr>
          <w:rFonts w:ascii="Times New Roman" w:hAnsi="Times New Roman" w:cs="Times New Roman"/>
          <w:color w:val="000000" w:themeColor="text1"/>
          <w:sz w:val="24"/>
          <w:szCs w:val="24"/>
        </w:rPr>
        <w:instrText>ADDIN CSL_CITATION {"citationItems":[{"id":"ITEM-1","itemData":{"DOI":"10.1016/j.wasman.2018.09.042","ISSN":"18792456","abstract":"Effects of methanogenic community of inoculum (liquid anaerobic digestion effluent (L-AD effluent), waste activated sludge (WAS), and anaerobic granular sludge (AGS)) and substrate/inoculum ratio (S/I) on reactor performance in solid state anaerobic digestion (SS-AD) were investigated. L-AD effluent, which can provide sufficient microbes and enough buffering capacity to the reactor at an S/I ratio of 6, was found to quickly initiate SS-AD processes. The highest methane production was obtained in reactor inoculated with WAS at an S/I ratio of 2. Higher volatile fatty acids and total ammonia nitrogen concentrations were found when AGS was used as inoculum, which led to a low methane production. Methanosaetaceae, Methanosaetaceae, and Methanosaetaceae together with Methanobacteriaceae were the dominant methanogens in reactors inoculated with L-AD effluent, WAS, and AGS, respectively. These findings suggest among the three inoculum, L-AD effluent is the most effective inoculum for SS-AD of on farm organic waste.","author":[{"dropping-particle":"","family":"Li","given":"Yangyang","non-dropping-particle":"","parse-names":false,"suffix":""},{"dropping-particle":"","family":"Wang","given":"Yanqin","non-dropping-particle":"","parse-names":false,"suffix":""},{"dropping-particle":"","family":"Yu","given":"Zihan","non-dropping-particle":"","parse-names":false,"suffix":""},{"dropping-particle":"","family":"Lu","given":"Jiaxin","non-dropping-particle":"","parse-names":false,"suffix":""},{"dropping-particle":"","family":"Li","given":"Danyang","non-dropping-particle":"","parse-names":false,"suffix":""},{"dropping-particle":"","family":"Wang","given":"Guoying","non-dropping-particle":"","parse-names":false,"suffix":""},{"dropping-particle":"","family":"Li","given":"Yu","non-dropping-particle":"","parse-names":false,"suffix":""},{"dropping-particle":"","family":"Wu","given":"Yue","non-dropping-particle":"","parse-names":false,"suffix":""},{"dropping-particle":"","family":"Li","given":"Shuyan","non-dropping-particle":"","parse-names":false,"suffix":""},{"dropping-particle":"","family":"Xu","given":"Fuqing","non-dropping-particle":"","parse-names":false,"suffix":""},{"dropping-particle":"","family":"Li","given":"Guoxue","non-dropping-particle":"","parse-names":false,"suffix":""},{"dropping-particle":"","family":"Gong","given":"Xiaoyan","non-dropping-particle":"","parse-names":false,"suffix":""}],"container-title":"Waste Management","id":"ITEM-1","issued":{"date-parts":[["2018"]]},"page":"117-127","title":"Effect of inoculum and substrate/inoculum ratio on the performance and methanogenic archaeal community structure in solid state anaerobic co-digestion of tomato residues with dairy manure and corn stover","type":"article-journal","volume":"81"},"uris":["http://www.mendeley.com/documents/?uuid=cbbabc6f-aa42-4489-b5a4-b78db5516af6"]}],"mendeley":{"formattedCitation":"(Li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color w:val="000000" w:themeColor="text1"/>
          <w:sz w:val="24"/>
          <w:szCs w:val="24"/>
        </w:rPr>
        <w:fldChar w:fldCharType="separate"/>
      </w:r>
      <w:r w:rsidRPr="00686018">
        <w:rPr>
          <w:rFonts w:ascii="Times New Roman" w:hAnsi="Times New Roman" w:cs="Times New Roman"/>
          <w:noProof/>
          <w:color w:val="000000" w:themeColor="text1"/>
          <w:sz w:val="24"/>
          <w:szCs w:val="24"/>
        </w:rPr>
        <w:t xml:space="preserve">(Li </w:t>
      </w:r>
      <w:r w:rsidR="00C80D09">
        <w:rPr>
          <w:rFonts w:ascii="Times New Roman" w:hAnsi="Times New Roman" w:cs="Times New Roman"/>
          <w:noProof/>
          <w:color w:val="000000" w:themeColor="text1"/>
          <w:sz w:val="24"/>
          <w:szCs w:val="24"/>
        </w:rPr>
        <w:t>et al.,</w:t>
      </w:r>
      <w:r w:rsidRPr="00686018">
        <w:rPr>
          <w:rFonts w:ascii="Times New Roman" w:hAnsi="Times New Roman" w:cs="Times New Roman"/>
          <w:noProof/>
          <w:color w:val="000000" w:themeColor="text1"/>
          <w:sz w:val="24"/>
          <w:szCs w:val="24"/>
        </w:rPr>
        <w:t xml:space="preserve"> 2018)</w:t>
      </w:r>
      <w:r w:rsidRPr="00686018">
        <w:rPr>
          <w:rFonts w:ascii="Times New Roman" w:hAnsi="Times New Roman" w:cs="Times New Roman"/>
          <w:color w:val="000000" w:themeColor="text1"/>
          <w:sz w:val="24"/>
          <w:szCs w:val="24"/>
        </w:rPr>
        <w:fldChar w:fldCharType="end"/>
      </w:r>
      <w:r w:rsidRPr="00686018">
        <w:rPr>
          <w:rFonts w:ascii="Times New Roman" w:hAnsi="Times New Roman" w:cs="Times New Roman"/>
          <w:color w:val="000000" w:themeColor="text1"/>
          <w:sz w:val="24"/>
          <w:szCs w:val="24"/>
        </w:rPr>
        <w:t xml:space="preserve"> estudió el efecto de la relación inóculo a sustrato con diferentes fuentes de inóculo, uno de ellos, lodo de una planta de tratamiento de aguas residuales.  Él estableció </w:t>
      </w:r>
      <w:r w:rsidR="00336E31" w:rsidRPr="00686018">
        <w:rPr>
          <w:rFonts w:ascii="Times New Roman" w:hAnsi="Times New Roman" w:cs="Times New Roman"/>
          <w:color w:val="000000" w:themeColor="text1"/>
          <w:sz w:val="24"/>
          <w:szCs w:val="24"/>
        </w:rPr>
        <w:t>que,</w:t>
      </w:r>
      <w:r w:rsidRPr="00686018">
        <w:rPr>
          <w:rFonts w:ascii="Times New Roman" w:hAnsi="Times New Roman" w:cs="Times New Roman"/>
          <w:color w:val="000000" w:themeColor="text1"/>
          <w:sz w:val="24"/>
          <w:szCs w:val="24"/>
        </w:rPr>
        <w:t xml:space="preserve"> al aumentar la cantidad de sustrato en el reactor con respecto al inóculo, el rendimiento acumulado de metano descendía al incrementar la relación. Sus resultados indicaron acidificación para los reactores con relaciones sustrato a inóculo superiores a 2 (</w:t>
      </w:r>
      <w:r w:rsidRPr="00686018">
        <w:rPr>
          <w:rFonts w:ascii="Times New Roman" w:hAnsi="Times New Roman" w:cs="Times New Roman"/>
          <w:b/>
          <w:color w:val="000000" w:themeColor="text1"/>
          <w:sz w:val="24"/>
          <w:szCs w:val="24"/>
        </w:rPr>
        <w:t>figura 10</w:t>
      </w:r>
      <w:r w:rsidRPr="00686018">
        <w:rPr>
          <w:rFonts w:ascii="Times New Roman" w:hAnsi="Times New Roman" w:cs="Times New Roman"/>
          <w:color w:val="000000" w:themeColor="text1"/>
          <w:sz w:val="24"/>
          <w:szCs w:val="24"/>
        </w:rPr>
        <w:t>).</w:t>
      </w:r>
    </w:p>
    <w:p w:rsidR="00DF46F4" w:rsidRPr="00686018" w:rsidRDefault="00F93E85" w:rsidP="00A31608">
      <w:pPr>
        <w:jc w:val="center"/>
        <w:rPr>
          <w:rFonts w:ascii="Times New Roman" w:hAnsi="Times New Roman" w:cs="Times New Roman"/>
          <w:color w:val="000000" w:themeColor="text1"/>
          <w:sz w:val="24"/>
          <w:szCs w:val="24"/>
        </w:rPr>
      </w:pPr>
      <w:r w:rsidRPr="00686018">
        <w:rPr>
          <w:rFonts w:ascii="Times New Roman" w:hAnsi="Times New Roman" w:cs="Times New Roman"/>
          <w:noProof/>
          <w:color w:val="000000" w:themeColor="text1"/>
          <w:sz w:val="24"/>
          <w:szCs w:val="24"/>
          <w:lang w:eastAsia="es-EC"/>
        </w:rPr>
        <w:lastRenderedPageBreak/>
        <w:drawing>
          <wp:inline distT="0" distB="0" distL="0" distR="0" wp14:anchorId="4BDE15FC" wp14:editId="21FE3B64">
            <wp:extent cx="4071257" cy="2483749"/>
            <wp:effectExtent l="0" t="0" r="5715" b="0"/>
            <wp:docPr id="2" name="Imagen 2" descr="D:\Shäferhund\LateX folder\images\inosu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häferhund\LateX folder\images\inosust.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77845" cy="2487768"/>
                    </a:xfrm>
                    <a:prstGeom prst="rect">
                      <a:avLst/>
                    </a:prstGeom>
                    <a:noFill/>
                    <a:ln>
                      <a:noFill/>
                    </a:ln>
                  </pic:spPr>
                </pic:pic>
              </a:graphicData>
            </a:graphic>
          </wp:inline>
        </w:drawing>
      </w:r>
    </w:p>
    <w:p w:rsidR="00DF46F4" w:rsidRPr="00686018" w:rsidRDefault="00B639AA" w:rsidP="00A31608">
      <w:pPr>
        <w:pStyle w:val="Descripcin"/>
        <w:jc w:val="center"/>
        <w:rPr>
          <w:rFonts w:ascii="Times New Roman" w:hAnsi="Times New Roman" w:cs="Times New Roman"/>
          <w:i w:val="0"/>
          <w:color w:val="auto"/>
        </w:rPr>
      </w:pPr>
      <w:bookmarkStart w:id="129" w:name="_Toc9537878"/>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10</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Efecto de la relación S/I en el rendimiento de metano a partir de la </w:t>
      </w:r>
      <w:r w:rsidR="00F776E5" w:rsidRPr="00686018">
        <w:rPr>
          <w:rFonts w:ascii="Times New Roman" w:hAnsi="Times New Roman" w:cs="Times New Roman"/>
          <w:i w:val="0"/>
          <w:color w:val="auto"/>
        </w:rPr>
        <w:t>codigestión</w:t>
      </w:r>
      <w:r w:rsidR="00DF46F4" w:rsidRPr="00686018">
        <w:rPr>
          <w:rFonts w:ascii="Times New Roman" w:hAnsi="Times New Roman" w:cs="Times New Roman"/>
          <w:i w:val="0"/>
          <w:color w:val="auto"/>
        </w:rPr>
        <w:t xml:space="preserve"> anaerobia de residuos de tomate, residuos industriales y tallos de maíz.</w:t>
      </w:r>
      <w:bookmarkEnd w:id="129"/>
    </w:p>
    <w:p w:rsidR="00DF46F4" w:rsidRPr="00686018" w:rsidRDefault="00DF46F4" w:rsidP="00A31608">
      <w:pPr>
        <w:jc w:val="center"/>
        <w:rPr>
          <w:rFonts w:ascii="Times New Roman" w:hAnsi="Times New Roman" w:cs="Times New Roman"/>
          <w:color w:val="FF0000"/>
          <w:sz w:val="18"/>
          <w:szCs w:val="18"/>
        </w:rPr>
      </w:pPr>
      <w:r w:rsidRPr="00686018">
        <w:rPr>
          <w:rFonts w:ascii="Times New Roman" w:hAnsi="Times New Roman" w:cs="Times New Roman"/>
          <w:b/>
          <w:sz w:val="18"/>
          <w:szCs w:val="18"/>
        </w:rPr>
        <w:t>Fuente:</w:t>
      </w:r>
      <w:r w:rsidRPr="00686018">
        <w:rPr>
          <w:rFonts w:ascii="Times New Roman" w:hAnsi="Times New Roman" w:cs="Times New Roman"/>
          <w:sz w:val="18"/>
          <w:szCs w:val="18"/>
        </w:rPr>
        <w:t xml:space="preserve"> </w:t>
      </w:r>
      <w:r w:rsidR="006D64AB" w:rsidRPr="00686018">
        <w:rPr>
          <w:rFonts w:ascii="Times New Roman" w:hAnsi="Times New Roman" w:cs="Times New Roman"/>
          <w:sz w:val="18"/>
          <w:szCs w:val="18"/>
        </w:rPr>
        <w:t xml:space="preserve">Tomado de </w:t>
      </w:r>
      <w:r w:rsidRPr="00686018">
        <w:rPr>
          <w:rFonts w:ascii="Times New Roman" w:hAnsi="Times New Roman" w:cs="Times New Roman"/>
          <w:sz w:val="18"/>
          <w:szCs w:val="18"/>
        </w:rPr>
        <w:t xml:space="preserve">(Li </w:t>
      </w:r>
      <w:r w:rsidR="00C80D09">
        <w:rPr>
          <w:rFonts w:ascii="Times New Roman" w:hAnsi="Times New Roman" w:cs="Times New Roman"/>
          <w:sz w:val="18"/>
          <w:szCs w:val="18"/>
        </w:rPr>
        <w:t>et al.,</w:t>
      </w:r>
      <w:r w:rsidRPr="00686018">
        <w:rPr>
          <w:rFonts w:ascii="Times New Roman" w:hAnsi="Times New Roman" w:cs="Times New Roman"/>
          <w:sz w:val="18"/>
          <w:szCs w:val="18"/>
        </w:rPr>
        <w:t xml:space="preserve"> 2018)</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30" w:name="_Toc534817433"/>
      <w:bookmarkStart w:id="131" w:name="_Toc534817741"/>
      <w:bookmarkStart w:id="132" w:name="_Toc535410444"/>
      <w:bookmarkStart w:id="133" w:name="_Toc9537802"/>
      <w:r w:rsidRPr="00686018">
        <w:rPr>
          <w:rFonts w:ascii="Times New Roman" w:hAnsi="Times New Roman" w:cs="Times New Roman"/>
          <w:i w:val="0"/>
          <w:u w:val="none"/>
        </w:rPr>
        <w:t>Condiciones operacionales</w:t>
      </w:r>
      <w:bookmarkEnd w:id="130"/>
      <w:bookmarkEnd w:id="131"/>
      <w:bookmarkEnd w:id="132"/>
      <w:bookmarkEnd w:id="133"/>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34" w:name="_Toc534817742"/>
      <w:bookmarkStart w:id="135" w:name="_Toc535410445"/>
      <w:bookmarkStart w:id="136" w:name="_Toc9537803"/>
      <w:r w:rsidRPr="00686018">
        <w:rPr>
          <w:rFonts w:ascii="Times New Roman" w:hAnsi="Times New Roman" w:cs="Times New Roman"/>
          <w:i w:val="0"/>
        </w:rPr>
        <w:t>Capacidad del reactor, réplicas y blanco</w:t>
      </w:r>
      <w:bookmarkEnd w:id="134"/>
      <w:bookmarkEnd w:id="135"/>
      <w:bookmarkEnd w:id="136"/>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El ensayo de PBM se realiza generalmente en reactores en batch cuyo volumen total puede variar entre 100</w:t>
      </w:r>
      <w:r w:rsidR="00DD14D0">
        <w:rPr>
          <w:rFonts w:ascii="Times New Roman" w:hAnsi="Times New Roman" w:cs="Times New Roman"/>
          <w:sz w:val="24"/>
        </w:rPr>
        <w:t>mL</w:t>
      </w:r>
      <w:r w:rsidRPr="00686018">
        <w:rPr>
          <w:rFonts w:ascii="Times New Roman" w:hAnsi="Times New Roman" w:cs="Times New Roman"/>
          <w:sz w:val="24"/>
        </w:rPr>
        <w:t xml:space="preserve"> y 2L dependiendo de la homogeneidad de los sustratos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(Angelidaki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2009)</w:t>
      </w:r>
      <w:r w:rsidRPr="00686018">
        <w:rPr>
          <w:rFonts w:ascii="Times New Roman" w:hAnsi="Times New Roman" w:cs="Times New Roman"/>
          <w:sz w:val="24"/>
        </w:rPr>
        <w:fldChar w:fldCharType="end"/>
      </w:r>
      <w:r w:rsidRPr="00686018">
        <w:rPr>
          <w:rFonts w:ascii="Times New Roman" w:hAnsi="Times New Roman" w:cs="Times New Roman"/>
          <w:sz w:val="24"/>
        </w:rPr>
        <w:t xml:space="preserve">; el volumen útil corresponde a la fase sólida-líquida y el volumen libre a la fase gaseosa, el cual se requiere para el almacenamiento de los gases generados.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{"citationItems":[{"id":"ITEM-1","itemData":{"author":[{"dropping-particle":"","family":"Ame","given":"Metanogénica Específica","non-dropping-particle":"","parse-names":false,"suffix":""},{"dropping-particle":"","family":"El","given":"Mediante","non-dropping-particle":"","parse-names":false,"suffix":""},{"dropping-particle":"","family":"Oxitop","given":"Sistema","non-dropping-particle":"","parse-names":false,"suffix":""},{"dropping-particle":"","family":"Principales","given":"Influencia D E L A S","non-dropping-particle":"","parse-names":false,"suffix":""}],"id":"ITEM-1","issued":{"date-parts":[["2011"]]},"title":"PUESTA A PUNTO DE UNA DETERMINACIÓN DE LA ACTIVIDAD VARIABLES EXPERIMENTALES .","type":"article-journal"},"uris":["http://www.mendeley.com/documents/?uuid=413a59e8-bff4-4438-bef0-7c86c173d0d0"]}],"mendeley":{"formattedCitation":"(Ame et al. 2011)","plainTextFormattedCitation":"(Ame et al. 2011)","previouslyFormattedCitation":"(Ame et al. 2011)"},"properties":{"noteIndex":0},"schema":"https://github.com/citation-style-language/schema/raw/master/csl-citation.json"}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(Ame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2011)</w:t>
      </w:r>
      <w:r w:rsidRPr="00686018">
        <w:rPr>
          <w:rFonts w:ascii="Times New Roman" w:hAnsi="Times New Roman" w:cs="Times New Roman"/>
          <w:sz w:val="24"/>
        </w:rPr>
        <w:fldChar w:fldCharType="end"/>
      </w:r>
      <w:r w:rsidRPr="00686018">
        <w:rPr>
          <w:rFonts w:ascii="Times New Roman" w:hAnsi="Times New Roman" w:cs="Times New Roman"/>
          <w:color w:val="FF0000"/>
          <w:sz w:val="24"/>
        </w:rPr>
        <w:t xml:space="preserve"> </w:t>
      </w:r>
      <w:r w:rsidRPr="00686018">
        <w:rPr>
          <w:rFonts w:ascii="Times New Roman" w:hAnsi="Times New Roman" w:cs="Times New Roman"/>
          <w:sz w:val="24"/>
        </w:rPr>
        <w:t>recomienda que el volumen libre debe estar entre 20 al 25% del volumen total del reactor.</w:t>
      </w:r>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 xml:space="preserve">Las réplicas garantizan la reproducibilidad de los resultados,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(Angelidaki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2009)</w:t>
      </w:r>
      <w:r w:rsidRPr="00686018">
        <w:rPr>
          <w:rFonts w:ascii="Times New Roman" w:hAnsi="Times New Roman" w:cs="Times New Roman"/>
          <w:sz w:val="24"/>
        </w:rPr>
        <w:fldChar w:fldCharType="end"/>
      </w:r>
      <w:r w:rsidRPr="00686018">
        <w:rPr>
          <w:rFonts w:ascii="Times New Roman" w:hAnsi="Times New Roman" w:cs="Times New Roman"/>
          <w:sz w:val="24"/>
        </w:rPr>
        <w:t xml:space="preserve"> recomienda al menos tres replicas para cada dilución, dependiendo de la complejidad del sustrato y la reproductibilidad del ensayo. Cuando se utiliza sustratos con alta heterogeneidad se debe emplear más de tres replicas para resultados más fiables.</w:t>
      </w:r>
    </w:p>
    <w:p w:rsidR="00DF46F4" w:rsidRPr="00686018" w:rsidRDefault="00DF46F4" w:rsidP="00A31608">
      <w:pPr>
        <w:spacing w:before="360" w:after="360"/>
        <w:jc w:val="both"/>
        <w:rPr>
          <w:rFonts w:ascii="Times New Roman" w:hAnsi="Times New Roman" w:cs="Times New Roman"/>
          <w:color w:val="FF0000"/>
          <w:sz w:val="24"/>
        </w:rPr>
      </w:pPr>
      <w:r w:rsidRPr="00686018">
        <w:rPr>
          <w:rFonts w:ascii="Times New Roman" w:hAnsi="Times New Roman" w:cs="Times New Roman"/>
          <w:sz w:val="24"/>
        </w:rPr>
        <w:t>El Blanco está constituido por inóculo y agua destilada y se emplea para determinar el CH</w:t>
      </w:r>
      <w:r w:rsidRPr="00686018">
        <w:rPr>
          <w:rFonts w:ascii="Times New Roman" w:hAnsi="Times New Roman" w:cs="Times New Roman"/>
          <w:sz w:val="24"/>
          <w:vertAlign w:val="subscript"/>
        </w:rPr>
        <w:t>4</w:t>
      </w:r>
      <w:r w:rsidRPr="00686018">
        <w:rPr>
          <w:rFonts w:ascii="Times New Roman" w:hAnsi="Times New Roman" w:cs="Times New Roman"/>
          <w:sz w:val="24"/>
        </w:rPr>
        <w:t xml:space="preserve"> generado por el sustrato residual presente en el inóculo y su producción se resta de la de cada reactor para cuantificar únicamente la que se debe al sustrato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(Angelidaki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2009)</w:t>
      </w:r>
      <w:r w:rsidRPr="00686018">
        <w:rPr>
          <w:rFonts w:ascii="Times New Roman" w:hAnsi="Times New Roman" w:cs="Times New Roman"/>
          <w:sz w:val="24"/>
        </w:rPr>
        <w:fldChar w:fldCharType="end"/>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37" w:name="_Toc535410446"/>
      <w:bookmarkStart w:id="138" w:name="_Toc9537804"/>
      <w:r w:rsidRPr="00686018">
        <w:rPr>
          <w:rFonts w:ascii="Times New Roman" w:hAnsi="Times New Roman" w:cs="Times New Roman"/>
          <w:i w:val="0"/>
        </w:rPr>
        <w:t>Duración del ensayo y agitación</w:t>
      </w:r>
      <w:bookmarkEnd w:id="137"/>
      <w:bookmarkEnd w:id="138"/>
    </w:p>
    <w:p w:rsidR="00DF46F4" w:rsidRPr="00686018" w:rsidRDefault="00DF46F4" w:rsidP="00A31608">
      <w:pPr>
        <w:spacing w:before="360" w:after="360"/>
        <w:jc w:val="both"/>
        <w:rPr>
          <w:rFonts w:ascii="Times New Roman" w:hAnsi="Times New Roman" w:cs="Times New Roman"/>
          <w:color w:val="FF0000"/>
          <w:sz w:val="24"/>
        </w:rPr>
      </w:pPr>
      <w:r w:rsidRPr="00686018">
        <w:rPr>
          <w:rFonts w:ascii="Times New Roman" w:hAnsi="Times New Roman" w:cs="Times New Roman"/>
          <w:sz w:val="24"/>
        </w:rPr>
        <w:t xml:space="preserve">La duración del ensayo de PBM depende principalmente de la biodegradabilidad del sustrato y por lo tanto no es posible establecer un periodo fijo; sin embargo, se </w:t>
      </w:r>
      <w:r w:rsidRPr="00686018">
        <w:rPr>
          <w:rFonts w:ascii="Times New Roman" w:hAnsi="Times New Roman" w:cs="Times New Roman"/>
          <w:sz w:val="24"/>
        </w:rPr>
        <w:lastRenderedPageBreak/>
        <w:t>reporta que aproximadamente a los 30 días inicia la fase de estabilización de la producción de CH</w:t>
      </w:r>
      <w:r w:rsidRPr="00686018">
        <w:rPr>
          <w:rFonts w:ascii="Times New Roman" w:hAnsi="Times New Roman" w:cs="Times New Roman"/>
          <w:sz w:val="24"/>
          <w:vertAlign w:val="subscript"/>
        </w:rPr>
        <w:t>4</w:t>
      </w:r>
      <w:r w:rsidRPr="00686018">
        <w:rPr>
          <w:rFonts w:ascii="Times New Roman" w:hAnsi="Times New Roman" w:cs="Times New Roman"/>
          <w:sz w:val="24"/>
        </w:rPr>
        <w:t xml:space="preserve">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(Angelidaki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2009)</w:t>
      </w:r>
      <w:r w:rsidRPr="00686018">
        <w:rPr>
          <w:rFonts w:ascii="Times New Roman" w:hAnsi="Times New Roman" w:cs="Times New Roman"/>
          <w:sz w:val="24"/>
        </w:rPr>
        <w:fldChar w:fldCharType="end"/>
      </w:r>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{"citationItems":[{"id":"ITEM-1","itemData":{"DOI":"10.1007/s11157-004-5762-z","ISBN":"1569-1705","ISSN":"15691705","abstract":"This work reviews the existing methodologies for assessing microbial activity and inhibition under anaerobic conditions. The anaerobic digestion process consists of several metabolic steps-the Anaerobic Digestion Model No. 1 (ADM1) has attempted to describe these steps in the form of a mathematical model with the intention of providing a reference base for all further efforts in the modelling of anaerobic processes. The existence of a reference point for modelling has highlighted the fact that there is a lack of coherence between the many different methodologies for experimentally assessing anaerobic activity and inhibition. A working group of the International Water Association was recently founded to harmonise the existing methodologies with the ultimate intention of developing a unified reference procedure- a primary objective of the group will be the establishment of a standard terminology in the field of anaerobic digestion, activity and inhibition assessment. Secondly, it will compare the existing methodologies and develop standard protocols for assessing the kinetic parameters (e.g. maximum uptake rate, half-saturation constant) of anaerobic processes that may be entered directly into ADM1 and its successors. This paper revises and enlarges a contribution presented by the authors at the workshop “Harmonisation of anaerobic biodegradation, activity and inhibition assays” (Ligthart &amp; Nieman 2002, Proc. workshop held in Orta (Italy) June 7-8, 2002) and aims to promote a clear understanding of the currently established methodology. Numerous methods have been developed over the past 30 years, since Van den Berg et al. (1974, Biotechnol Bioeng 16(11)- 1459-1469) measured methanogenic activity, by using a manometric device equipped with a photoelectric sensor to quantify the gas production. Methanogenesis is often the rate limiting step of the entire process and since the quantification of gas flowrate is relatively easy to perform, most of the methods reported in literature monitor the production of biogas. These methods can be termed volumetric or manometric methods, as the volume of biogas produced or the pressure increase due to gas production inside a close vessel are assessed, respectively. However, this same concept can be employed to assess activity or inhibition of individual metabolic steps preceding the methanogenic one, providing that they are rate limiting for the whole process. The reliability of activity assessment through gas measurement…","author":[{"dropping-particle":"","family":"Rozzi","given":"Alberto","non-dropping-particle":"","parse-names":false,"suffix":""},{"dropping-particle":"","family":"Remigi","given":"Enrico","non-dropping-particle":"","parse-names":false,"suffix":""}],"container-title":"Reviews in Environmental Science and Biotechnology","id":"ITEM-1","issue":"2","issued":{"date-parts":[["2004"]]},"page":"93-115","title":"Methods of assessing microbial activity and inhibition under anaerobic conditions: A literature review","type":"article-journal","volume":"3"},"uris":["http://www.mendeley.com/documents/?uuid=178c18c8-9619-47a4-968a-8d0c1f211beb"]}],"mendeley":{"formattedCitation":"(Rozzi y Remigi 2004)","plainTextFormattedCitation":"(Rozzi y Remigi 2004)","previouslyFormattedCitation":"(Rozzi y Remigi 2004)"},"properties":{"noteIndex":0},"schema":"https://github.com/citation-style-language/schema/raw/master/csl-citation.json"}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(Rozzi y Remigi 2004)</w:t>
      </w:r>
      <w:r w:rsidRPr="00686018">
        <w:rPr>
          <w:rFonts w:ascii="Times New Roman" w:hAnsi="Times New Roman" w:cs="Times New Roman"/>
          <w:sz w:val="24"/>
        </w:rPr>
        <w:fldChar w:fldCharType="end"/>
      </w:r>
      <w:r w:rsidRPr="00686018">
        <w:rPr>
          <w:rFonts w:ascii="Times New Roman" w:hAnsi="Times New Roman" w:cs="Times New Roman"/>
          <w:color w:val="FF0000"/>
          <w:sz w:val="24"/>
        </w:rPr>
        <w:t xml:space="preserve"> </w:t>
      </w:r>
      <w:r w:rsidRPr="00686018">
        <w:rPr>
          <w:rFonts w:ascii="Times New Roman" w:hAnsi="Times New Roman" w:cs="Times New Roman"/>
          <w:sz w:val="24"/>
        </w:rPr>
        <w:t xml:space="preserve">afirman que la agitación continua puede dañar las asociaciones sintróficas que se establecen entre los diferentes grupos de microorganismos que intervienen en la DA. Además,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{"citationItems":[{"id":"ITEM-1","itemData":{"author":[{"dropping-particle":"","family":"Ame","given":"Metanogénica Específica","non-dropping-particle":"","parse-names":false,"suffix":""},{"dropping-particle":"","family":"El","given":"Mediante","non-dropping-particle":"","parse-names":false,"suffix":""},{"dropping-particle":"","family":"Oxitop","given":"Sistema","non-dropping-particle":"","parse-names":false,"suffix":""},{"dropping-particle":"","family":"Principales","given":"Influencia D E L A S","non-dropping-particle":"","parse-names":false,"suffix":""}],"id":"ITEM-1","issued":{"date-parts":[["2011"]]},"title":"PUESTA A PUNTO DE UNA DETERMINACIÓN DE LA ACTIVIDAD VARIABLES EXPERIMENTALES .","type":"article-journal"},"uris":["http://www.mendeley.com/documents/?uuid=413a59e8-bff4-4438-bef0-7c86c173d0d0"]}],"mendeley":{"formattedCitation":"(Ame et al. 2011)","plainTextFormattedCitation":"(Ame et al. 2011)","previouslyFormattedCitation":"(Ame et al. 2011)"},"properties":{"noteIndex":0},"schema":"https://github.com/citation-style-language/schema/raw/master/csl-citation.json"}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(Ame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2011)</w:t>
      </w:r>
      <w:r w:rsidRPr="00686018">
        <w:rPr>
          <w:rFonts w:ascii="Times New Roman" w:hAnsi="Times New Roman" w:cs="Times New Roman"/>
          <w:sz w:val="24"/>
        </w:rPr>
        <w:fldChar w:fldCharType="end"/>
      </w:r>
      <w:r w:rsidRPr="00686018">
        <w:rPr>
          <w:rFonts w:ascii="Times New Roman" w:hAnsi="Times New Roman" w:cs="Times New Roman"/>
          <w:sz w:val="24"/>
        </w:rPr>
        <w:t xml:space="preserve"> encontró que la producción de CH4 se reduce cuando se realiza agitación magnética continua, por lo que se recomienda realizar agitación manual intermitente.</w:t>
      </w:r>
    </w:p>
    <w:p w:rsidR="00DF46F4" w:rsidRPr="00686018" w:rsidRDefault="00DF46F4" w:rsidP="00A31608">
      <w:pPr>
        <w:pStyle w:val="Ttulo3"/>
        <w:numPr>
          <w:ilvl w:val="1"/>
          <w:numId w:val="4"/>
        </w:numPr>
        <w:ind w:left="431" w:hanging="431"/>
        <w:jc w:val="both"/>
        <w:rPr>
          <w:rFonts w:ascii="Times New Roman" w:hAnsi="Times New Roman" w:cs="Times New Roman"/>
          <w:i w:val="0"/>
        </w:rPr>
      </w:pPr>
      <w:bookmarkStart w:id="139" w:name="_Toc535410456"/>
      <w:bookmarkStart w:id="140" w:name="_Toc535410502"/>
      <w:bookmarkStart w:id="141" w:name="_Toc9537805"/>
      <w:r w:rsidRPr="00686018">
        <w:rPr>
          <w:rFonts w:ascii="Times New Roman" w:hAnsi="Times New Roman" w:cs="Times New Roman"/>
          <w:i w:val="0"/>
        </w:rPr>
        <w:t>Cinética Microbiana</w:t>
      </w:r>
      <w:bookmarkEnd w:id="139"/>
      <w:bookmarkEnd w:id="140"/>
      <w:bookmarkEnd w:id="141"/>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Como ya se ha mencionado en el apartado 5.1.2 la digestión anaerobia comprende 4 etapas, en cada una de estas etapas participan un consorcio microbiano diferente. Cuando se analiza la evolución de un grupo microbiano en un reactor en lote se puede observar la variación de la concentración celular. Las siguientes definiciones se ilustran en la (</w:t>
      </w:r>
      <w:r w:rsidRPr="00686018">
        <w:rPr>
          <w:rFonts w:ascii="Times New Roman" w:hAnsi="Times New Roman" w:cs="Times New Roman"/>
          <w:b/>
          <w:sz w:val="24"/>
        </w:rPr>
        <w:t>Figura 11</w:t>
      </w:r>
      <w:r w:rsidRPr="00686018">
        <w:rPr>
          <w:rFonts w:ascii="Times New Roman" w:hAnsi="Times New Roman" w:cs="Times New Roman"/>
          <w:sz w:val="24"/>
        </w:rPr>
        <w:t xml:space="preserve">)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{"citationItems":[{"id":"ITEM-1","itemData":{"DOI":"https://doi.org/10.1146/annurev.mi.03.100149.002103","author":[{"dropping-particle":"","family":"Monod","given":"Jacques","non-dropping-particle":"","parse-names":false,"suffix":""}],"container-title":"Annual Reviews in M","id":"ITEM-1","issue":"Xl","issued":{"date-parts":[["1949"]]},"page":"371-394","title":"a Certain Number","type":"article-journal","volume":"3"},"uris":["http://www.mendeley.com/documents/?uuid=57eb84a1-9c5a-4c0a-8cff-284e2ebdef62"]}],"mendeley":{"formattedCitation":"(Monod 1949)","plainTextFormattedCitation":"(Monod 1949)","previouslyFormattedCitation":"(Monod 1949)"},"properties":{"noteIndex":0},"schema":"https://github.com/citation-style-language/schema/raw/master/csl-citation.json"}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(Monod 1949)</w:t>
      </w:r>
      <w:r w:rsidRPr="00686018">
        <w:rPr>
          <w:rFonts w:ascii="Times New Roman" w:hAnsi="Times New Roman" w:cs="Times New Roman"/>
          <w:sz w:val="24"/>
        </w:rPr>
        <w:fldChar w:fldCharType="end"/>
      </w:r>
      <w:r w:rsidRPr="00686018">
        <w:rPr>
          <w:rFonts w:ascii="Times New Roman" w:hAnsi="Times New Roman" w:cs="Times New Roman"/>
          <w:sz w:val="24"/>
        </w:rPr>
        <w:t>.</w:t>
      </w:r>
    </w:p>
    <w:p w:rsidR="00DF46F4" w:rsidRPr="00686018" w:rsidRDefault="00DF46F4" w:rsidP="00A31608">
      <w:pPr>
        <w:pStyle w:val="Prrafodelista"/>
        <w:numPr>
          <w:ilvl w:val="0"/>
          <w:numId w:val="5"/>
        </w:numPr>
        <w:jc w:val="both"/>
        <w:rPr>
          <w:rFonts w:ascii="Times New Roman" w:hAnsi="Times New Roman" w:cs="Times New Roman"/>
          <w:sz w:val="24"/>
        </w:rPr>
      </w:pPr>
      <w:r w:rsidRPr="00686018">
        <w:rPr>
          <w:rFonts w:ascii="Times New Roman" w:hAnsi="Times New Roman" w:cs="Times New Roman"/>
          <w:sz w:val="24"/>
        </w:rPr>
        <w:t>Fase de latencia: Razón de crecimiento nula</w:t>
      </w:r>
    </w:p>
    <w:p w:rsidR="00DF46F4" w:rsidRPr="00686018" w:rsidRDefault="00DF46F4" w:rsidP="00A31608">
      <w:pPr>
        <w:pStyle w:val="Prrafodelista"/>
        <w:numPr>
          <w:ilvl w:val="0"/>
          <w:numId w:val="5"/>
        </w:numPr>
        <w:jc w:val="both"/>
        <w:rPr>
          <w:rFonts w:ascii="Times New Roman" w:hAnsi="Times New Roman" w:cs="Times New Roman"/>
          <w:sz w:val="24"/>
        </w:rPr>
      </w:pPr>
      <w:r w:rsidRPr="00686018">
        <w:rPr>
          <w:rFonts w:ascii="Times New Roman" w:hAnsi="Times New Roman" w:cs="Times New Roman"/>
          <w:sz w:val="24"/>
        </w:rPr>
        <w:t>Fase de aceleración: La razón de crecimiento incrementa</w:t>
      </w:r>
    </w:p>
    <w:p w:rsidR="00DF46F4" w:rsidRPr="00686018" w:rsidRDefault="00DF46F4" w:rsidP="00A31608">
      <w:pPr>
        <w:pStyle w:val="Prrafodelista"/>
        <w:numPr>
          <w:ilvl w:val="0"/>
          <w:numId w:val="5"/>
        </w:numPr>
        <w:jc w:val="both"/>
        <w:rPr>
          <w:rFonts w:ascii="Times New Roman" w:hAnsi="Times New Roman" w:cs="Times New Roman"/>
          <w:sz w:val="24"/>
        </w:rPr>
      </w:pPr>
      <w:r w:rsidRPr="00686018">
        <w:rPr>
          <w:rFonts w:ascii="Times New Roman" w:hAnsi="Times New Roman" w:cs="Times New Roman"/>
          <w:sz w:val="24"/>
        </w:rPr>
        <w:t>Fase exponencial: Razón de crecimiento constante</w:t>
      </w:r>
    </w:p>
    <w:p w:rsidR="00DF46F4" w:rsidRPr="00686018" w:rsidRDefault="00DF46F4" w:rsidP="00A31608">
      <w:pPr>
        <w:pStyle w:val="Prrafodelista"/>
        <w:numPr>
          <w:ilvl w:val="0"/>
          <w:numId w:val="5"/>
        </w:numPr>
        <w:jc w:val="both"/>
        <w:rPr>
          <w:rFonts w:ascii="Times New Roman" w:hAnsi="Times New Roman" w:cs="Times New Roman"/>
          <w:sz w:val="24"/>
        </w:rPr>
      </w:pPr>
      <w:r w:rsidRPr="00686018">
        <w:rPr>
          <w:rFonts w:ascii="Times New Roman" w:hAnsi="Times New Roman" w:cs="Times New Roman"/>
          <w:sz w:val="24"/>
        </w:rPr>
        <w:t>Fase de retardo: La razón de crecimiento decrece</w:t>
      </w:r>
    </w:p>
    <w:p w:rsidR="00DF46F4" w:rsidRPr="00686018" w:rsidRDefault="00DF46F4" w:rsidP="00A31608">
      <w:pPr>
        <w:pStyle w:val="Prrafodelista"/>
        <w:numPr>
          <w:ilvl w:val="0"/>
          <w:numId w:val="5"/>
        </w:numPr>
        <w:jc w:val="both"/>
        <w:rPr>
          <w:rFonts w:ascii="Times New Roman" w:hAnsi="Times New Roman" w:cs="Times New Roman"/>
          <w:sz w:val="24"/>
        </w:rPr>
      </w:pPr>
      <w:r w:rsidRPr="00686018">
        <w:rPr>
          <w:rFonts w:ascii="Times New Roman" w:hAnsi="Times New Roman" w:cs="Times New Roman"/>
          <w:sz w:val="24"/>
        </w:rPr>
        <w:t>Fase de decline: Razón de crecimiento negativo</w:t>
      </w:r>
    </w:p>
    <w:p w:rsidR="00DF46F4" w:rsidRPr="00686018" w:rsidRDefault="00DF46F4" w:rsidP="00A31608">
      <w:pPr>
        <w:jc w:val="both"/>
        <w:rPr>
          <w:rFonts w:ascii="Times New Roman" w:hAnsi="Times New Roman" w:cs="Times New Roman"/>
          <w:color w:val="FF0000"/>
          <w:sz w:val="24"/>
        </w:rPr>
      </w:pPr>
      <w:r w:rsidRPr="00686018">
        <w:rPr>
          <w:rFonts w:ascii="Times New Roman" w:hAnsi="Times New Roman" w:cs="Times New Roman"/>
          <w:sz w:val="24"/>
        </w:rPr>
        <w:t xml:space="preserve">Inicialmente, la concentración de microrganismos responsables de la digestión es pequeña e involucra una etapa en donde los microorganismos necesitan adaptarse al medio. Esta etapa es llamada fase de latencia, subsecuentemente se produce un rápido incremento en la razón de crecimiento celular, denominada fase de aceleración. Cuando la razón de crecimiento celular permanece constante tenemos la fase exponencial, llega un punto en el cual la razón de crecimiento celular decrece, fase de retardo. La fase de crecimiento finaliza cuando las células compiten por el sustrato y el número de células generadas es igual al número de células muertas, esta etapa es denominada fase estacionaria. Cuando el número de células muerta es más grande que las generadas y la razón de crecimiento es negativa, ocurre la fase de decline o fase de muerte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{"citationItems":[{"id":"ITEM-1","itemData":{"DOI":"https://doi.org/10.1146/annurev.mi.03.100149.002103","author":[{"dropping-particle":"","family":"Monod","given":"Jacques","non-dropping-particle":"","parse-names":false,"suffix":""}],"container-title":"Annual Reviews in M","id":"ITEM-1","issue":"Xl","issued":{"date-parts":[["1949"]]},"page":"371-394","title":"a Certain Number","type":"article-journal","volume":"3"},"uris":["http://www.mendeley.com/documents/?uuid=57eb84a1-9c5a-4c0a-8cff-284e2ebdef62"]}],"mendeley":{"formattedCitation":"(Monod 1949)","plainTextFormattedCitation":"(Monod 1949)","previouslyFormattedCitation":"(Monod 1949)"},"properties":{"noteIndex":0},"schema":"https://github.com/citation-style-language/schema/raw/master/csl-citation.json"}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(Monod 1949)</w:t>
      </w:r>
      <w:r w:rsidRPr="00686018">
        <w:rPr>
          <w:rFonts w:ascii="Times New Roman" w:hAnsi="Times New Roman" w:cs="Times New Roman"/>
          <w:sz w:val="24"/>
        </w:rPr>
        <w:fldChar w:fldCharType="end"/>
      </w:r>
      <w:r w:rsidRPr="00686018">
        <w:rPr>
          <w:rFonts w:ascii="Times New Roman" w:hAnsi="Times New Roman" w:cs="Times New Roman"/>
          <w:sz w:val="24"/>
        </w:rPr>
        <w:t xml:space="preserve">,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{"citationItems":[{"id":"ITEM-1","itemData":{"author":[{"dropping-particle":"","family":"Velázquez-martí","given":"Borja","non-dropping-particle":"","parse-names":false,"suffix":""},{"dropping-particle":"","family":"Meneses-quelal","given":"Orlando W","non-dropping-particle":"","parse-names":false,"suffix":""},{"dropping-particle":"","family":"Gaibor-chavez","given":"Juan","non-dropping-particle":"","parse-names":false,"suffix":""},{"dropping-particle":"","family":"Niño-ruiz","given":"Zulay","non-dropping-particle":"","parse-names":false,"suffix":""}],"id":"ITEM-1","issued":{"date-parts":[["0"]]},"page":"1-20","title":"Review of Mathematical Models for the Anaerobic Digestion Process","type":"article-journal"},"uris":["http://www.mendeley.com/documents/?uuid=0fa5e8f5-1eac-4d9a-86f0-a355ee7c020e"]}],"mendeley":{"formattedCitation":"(Velázquez-martí et al. s. f.)","plainTextFormattedCitation":"(Velázquez-martí et al. s. f.)","previouslyFormattedCitation":"(Velázquez-martí et al. s. f.)"},"properties":{"noteIndex":0},"schema":"https://github.com/citation-style-language/schema/raw/master/csl-citation.json"}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(Velázquez-martí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s. f.)</w:t>
      </w:r>
      <w:r w:rsidRPr="00686018">
        <w:rPr>
          <w:rFonts w:ascii="Times New Roman" w:hAnsi="Times New Roman" w:cs="Times New Roman"/>
          <w:sz w:val="24"/>
        </w:rPr>
        <w:fldChar w:fldCharType="end"/>
      </w:r>
    </w:p>
    <w:p w:rsidR="00DF46F4" w:rsidRPr="00686018" w:rsidRDefault="00DF46F4" w:rsidP="00B46DDC">
      <w:pPr>
        <w:jc w:val="center"/>
        <w:rPr>
          <w:rFonts w:ascii="Times New Roman" w:hAnsi="Times New Roman" w:cs="Times New Roman"/>
          <w:color w:val="FF0000"/>
          <w:sz w:val="24"/>
        </w:rPr>
      </w:pPr>
      <w:r w:rsidRPr="00686018">
        <w:rPr>
          <w:rFonts w:ascii="Times New Roman" w:hAnsi="Times New Roman" w:cs="Times New Roman"/>
          <w:color w:val="FF0000"/>
          <w:sz w:val="24"/>
        </w:rPr>
        <w:object w:dxaOrig="15240" w:dyaOrig="78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75pt;height:281.25pt" o:ole="">
            <v:imagedata r:id="rId22" o:title="" croptop="6979f" cropbottom="17566f" cropleft="25062f" cropright="14256f"/>
          </v:shape>
          <o:OLEObject Type="Embed" ProgID="AutoCAD.Drawing.20" ShapeID="_x0000_i1025" DrawAspect="Content" ObjectID="_1620393447" r:id="rId23"/>
        </w:object>
      </w:r>
    </w:p>
    <w:p w:rsidR="00DF46F4" w:rsidRPr="00686018" w:rsidRDefault="00B639AA" w:rsidP="00B46DDC">
      <w:pPr>
        <w:pStyle w:val="Descripcin"/>
        <w:jc w:val="center"/>
        <w:rPr>
          <w:rFonts w:ascii="Times New Roman" w:hAnsi="Times New Roman" w:cs="Times New Roman"/>
          <w:i w:val="0"/>
          <w:color w:val="auto"/>
        </w:rPr>
      </w:pPr>
      <w:bookmarkStart w:id="142" w:name="_Toc9537879"/>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11</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i w:val="0"/>
          <w:color w:val="auto"/>
        </w:rPr>
        <w:t>. Fases de crecimiento. Curva inferior: log de la densidad bacteriana. Curva superior: Variación de la razón de crecimiento. Las líneas verticales marcan los límites de las fases.</w:t>
      </w:r>
      <w:bookmarkEnd w:id="142"/>
    </w:p>
    <w:p w:rsidR="00DF46F4" w:rsidRPr="00686018" w:rsidRDefault="00DF46F4" w:rsidP="00B46DDC">
      <w:pPr>
        <w:pStyle w:val="Descripcin"/>
        <w:jc w:val="center"/>
        <w:rPr>
          <w:rFonts w:ascii="Times New Roman" w:hAnsi="Times New Roman" w:cs="Times New Roman"/>
          <w:i w:val="0"/>
          <w:color w:val="FF0000"/>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 xml:space="preserve">Adaptado de </w:t>
      </w:r>
      <w:r w:rsidRPr="00686018">
        <w:rPr>
          <w:rFonts w:ascii="Times New Roman" w:hAnsi="Times New Roman" w:cs="Times New Roman"/>
          <w:i w:val="0"/>
          <w:color w:val="auto"/>
          <w:szCs w:val="24"/>
        </w:rPr>
        <w:fldChar w:fldCharType="begin" w:fldLock="1"/>
      </w:r>
      <w:r w:rsidRPr="00686018">
        <w:rPr>
          <w:rFonts w:ascii="Times New Roman" w:hAnsi="Times New Roman" w:cs="Times New Roman"/>
          <w:i w:val="0"/>
          <w:color w:val="auto"/>
          <w:szCs w:val="24"/>
        </w:rPr>
        <w:instrText>ADDIN CSL_CITATION {"citationItems":[{"id":"ITEM-1","itemData":{"DOI":"https://doi.org/10.1146/annurev.mi.03.100149.002103","author":[{"dropping-particle":"","family":"Monod","given":"Jacques","non-dropping-particle":"","parse-names":false,"suffix":""}],"container-title":"Annual Reviews in M","id":"ITEM-1","issue":"Xl","issued":{"date-parts":[["1949"]]},"page":"371-394","title":"a Certain Number","type":"article-journal","volume":"3"},"uris":["http://www.mendeley.com/documents/?uuid=57eb84a1-9c5a-4c0a-8cff-284e2ebdef62"]}],"mendeley":{"formattedCitation":"(Monod 1949)","plainTextFormattedCitation":"(Monod 1949)","previouslyFormattedCitation":"(Monod 1949)"},"properties":{"noteIndex":0},"schema":"https://github.com/citation-style-language/schema/raw/master/csl-citation.json"}</w:instrText>
      </w:r>
      <w:r w:rsidRPr="00686018">
        <w:rPr>
          <w:rFonts w:ascii="Times New Roman" w:hAnsi="Times New Roman" w:cs="Times New Roman"/>
          <w:i w:val="0"/>
          <w:color w:val="auto"/>
          <w:szCs w:val="24"/>
        </w:rPr>
        <w:fldChar w:fldCharType="separate"/>
      </w:r>
      <w:r w:rsidRPr="00686018">
        <w:rPr>
          <w:rFonts w:ascii="Times New Roman" w:hAnsi="Times New Roman" w:cs="Times New Roman"/>
          <w:i w:val="0"/>
          <w:noProof/>
          <w:color w:val="auto"/>
          <w:szCs w:val="24"/>
        </w:rPr>
        <w:t>(Monod 1949)</w:t>
      </w:r>
      <w:r w:rsidRPr="00686018">
        <w:rPr>
          <w:rFonts w:ascii="Times New Roman" w:hAnsi="Times New Roman" w:cs="Times New Roman"/>
          <w:i w:val="0"/>
          <w:color w:val="auto"/>
          <w:szCs w:val="24"/>
        </w:rPr>
        <w:fldChar w:fldCharType="end"/>
      </w:r>
      <w:r w:rsidRPr="00686018">
        <w:rPr>
          <w:rFonts w:ascii="Times New Roman" w:hAnsi="Times New Roman" w:cs="Times New Roman"/>
          <w:i w:val="0"/>
          <w:color w:val="FF0000"/>
          <w:szCs w:val="24"/>
        </w:rPr>
        <w:t>.</w:t>
      </w:r>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Una o varias de estar fases podrían estar ausentes. Bajo condiciones adecuadas, la fase de latencia y fase de aceleración podrían suprimirse. La fase de retraso es frecuentemente corta e imperceptible. Lo mismo es a veces verdadero para la fase estacionaria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{"citationItems":[{"id":"ITEM-1","itemData":{"DOI":"https://doi.org/10.1146/annurev.mi.03.100149.002103","author":[{"dropping-particle":"","family":"Monod","given":"Jacques","non-dropping-particle":"","parse-names":false,"suffix":""}],"container-title":"Annual Reviews in M","id":"ITEM-1","issue":"Xl","issued":{"date-parts":[["1949"]]},"page":"371-394","title":"a Certain Number","type":"article-journal","volume":"3"},"uris":["http://www.mendeley.com/documents/?uuid=57eb84a1-9c5a-4c0a-8cff-284e2ebdef62"]}],"mendeley":{"formattedCitation":"(Monod 1949)","plainTextFormattedCitation":"(Monod 1949)","previouslyFormattedCitation":"(Monod 1949)"},"properties":{"noteIndex":0},"schema":"https://github.com/citation-style-language/schema/raw/master/csl-citation.json"}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(Monod 1949)</w:t>
      </w:r>
      <w:r w:rsidRPr="00686018">
        <w:rPr>
          <w:rFonts w:ascii="Times New Roman" w:hAnsi="Times New Roman" w:cs="Times New Roman"/>
          <w:sz w:val="24"/>
        </w:rPr>
        <w:fldChar w:fldCharType="end"/>
      </w:r>
      <w:r w:rsidRPr="00686018">
        <w:rPr>
          <w:rFonts w:ascii="Times New Roman" w:hAnsi="Times New Roman" w:cs="Times New Roman"/>
          <w:sz w:val="24"/>
        </w:rPr>
        <w:t>.</w:t>
      </w:r>
      <w:r w:rsidRPr="00686018">
        <w:rPr>
          <w:rFonts w:ascii="Times New Roman" w:hAnsi="Times New Roman" w:cs="Times New Roman"/>
          <w:color w:val="FF0000"/>
          <w:szCs w:val="24"/>
        </w:rPr>
        <w:t xml:space="preserve"> </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43" w:name="_Toc535410457"/>
      <w:bookmarkStart w:id="144" w:name="_Toc9537806"/>
      <w:r w:rsidRPr="00686018">
        <w:rPr>
          <w:rFonts w:ascii="Times New Roman" w:hAnsi="Times New Roman" w:cs="Times New Roman"/>
          <w:i w:val="0"/>
          <w:u w:val="none"/>
        </w:rPr>
        <w:t>Modelos cinéticos</w:t>
      </w:r>
      <w:bookmarkEnd w:id="143"/>
      <w:bookmarkEnd w:id="144"/>
      <w:r w:rsidRPr="00686018">
        <w:rPr>
          <w:rFonts w:ascii="Times New Roman" w:hAnsi="Times New Roman" w:cs="Times New Roman"/>
          <w:i w:val="0"/>
          <w:u w:val="none"/>
        </w:rPr>
        <w:t xml:space="preserve"> </w:t>
      </w:r>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Para lograr el enfoque correcto en el proceso de digestión anaeróbica, es crucial conocer la producción potencial de biogás y metano de una mezcla de materia orgánica. Esto permite optimizar el proceso y da un control sobre las variables del mismo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{"citationItems":[{"id":"ITEM-1","itemData":{"DOI":"10.1016/j.biortech.2009.05.075","ISBN":"0960-8524","ISSN":"09608524","PMID":"19560342","abstract":"This study presents an upgrading of the mathematical models to predict anaerobic biogasification potential (ABP) through quick laboratory analyses that have been presented in an earlier study. The aim is to widen the applicability of the models to heterogeneous organic substrates and to improve their reliability through a deeper statistical approach. Three multiple-step linear regressions were obtained using biomass oxygen demand in 20 h (OD20) plus the volatile solids content (VS) of 23 new samples of heterogeneous organic matrices, of 46 samples presented in the earlier work and of the data set comprising all the 69 samples. The two variables chosen were found to be suitable for very heterogeneous materials. To judge the prediction quality, a validation procedure was performed with 12 new samples using model efficiency indexes. The proposed model had good prediction ability for a large variety of organic substrates, and allows the calculation of the ABP value within only 2-day's laboratory work instead of the 60-90 days required to obtain ABP by anaerobic test. © 2009 Elsevier Ltd. All rights reserved.","author":[{"dropping-particle":"","family":"Schievano","given":"Andrea","non-dropping-particle":"","parse-names":false,"suffix":""},{"dropping-particle":"","family":"Scaglia","given":"Barbara","non-dropping-particle":"","parse-names":false,"suffix":""},{"dropping-particle":"","family":"D'Imporzano","given":"Giuliana","non-dropping-particle":"","parse-names":false,"suffix":""},{"dropping-particle":"","family":"Malagutti","given":"Luca","non-dropping-particle":"","parse-names":false,"suffix":""},{"dropping-particle":"","family":"Gozzi","given":"Annalisa","non-dropping-particle":"","parse-names":false,"suffix":""},{"dropping-particle":"","family":"Adani","given":"Fabrizio","non-dropping-particle":"","parse-names":false,"suffix":""}],"container-title":"Bioresource Technology","id":"ITEM-1","issue":"23","issued":{"date-parts":[["2009"]]},"page":"5777-5782","publisher":"Elsevier Ltd","title":"Prediction of biogas potentials using quick laboratory analyses: Upgrading previous models for application to heterogeneous organic matrices","type":"article-journal","volume":"100"},"uris":["http://www.mendeley.com/documents/?uuid=fab89134-f1fa-4a41-9c5f-6474be79190f"]}],"mendeley":{"formattedCitation":"(Schievano et al. 2009)","plainTextFormattedCitation":"(Schievano et al. 2009)","previouslyFormattedCitation":"(Schievano et al. 2009)"},"properties":{"noteIndex":0},"schema":"https://github.com/citation-style-language/schema/raw/master/csl-citation.json"}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(Schievano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2009)</w:t>
      </w:r>
      <w:r w:rsidRPr="00686018">
        <w:rPr>
          <w:rFonts w:ascii="Times New Roman" w:hAnsi="Times New Roman" w:cs="Times New Roman"/>
          <w:sz w:val="24"/>
        </w:rPr>
        <w:fldChar w:fldCharType="end"/>
      </w:r>
      <w:r w:rsidRPr="00686018">
        <w:rPr>
          <w:rFonts w:ascii="Times New Roman" w:hAnsi="Times New Roman" w:cs="Times New Roman"/>
          <w:sz w:val="24"/>
        </w:rPr>
        <w:t>. Como la PBM es un proceso que requiere de tiempo, de 60-90 días. Los modelos matemáticos son métodos más rápidos para predecir cuanto metano es posible generar a partir de un sustrat</w:t>
      </w:r>
      <w:r w:rsidR="00C91303">
        <w:rPr>
          <w:rFonts w:ascii="Times New Roman" w:hAnsi="Times New Roman" w:cs="Times New Roman"/>
          <w:sz w:val="24"/>
        </w:rPr>
        <w:t>o dado sin el empleo de costos al</w:t>
      </w:r>
      <w:r w:rsidRPr="00686018">
        <w:rPr>
          <w:rFonts w:ascii="Times New Roman" w:hAnsi="Times New Roman" w:cs="Times New Roman"/>
          <w:sz w:val="24"/>
        </w:rPr>
        <w:t xml:space="preserve"> experimento. </w:t>
      </w:r>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El modelo cinético de primer orden, la ecuación modificada de Gompertz , el modelo </w:t>
      </w:r>
      <w:r w:rsidR="00F776E5" w:rsidRPr="00686018">
        <w:rPr>
          <w:rFonts w:ascii="Times New Roman" w:hAnsi="Times New Roman" w:cs="Times New Roman"/>
          <w:sz w:val="24"/>
        </w:rPr>
        <w:t xml:space="preserve">de la función de transferencia y </w:t>
      </w:r>
      <w:r w:rsidRPr="00686018">
        <w:rPr>
          <w:rFonts w:ascii="Times New Roman" w:hAnsi="Times New Roman" w:cs="Times New Roman"/>
          <w:sz w:val="24"/>
        </w:rPr>
        <w:t>el modelo del cono han sido satisfactoriamente aplicados para describir el proceso de digestión anaerobia de diferentes residuos usando diferentes tipos de reactores</w:t>
      </w:r>
      <w:r w:rsidRPr="00686018">
        <w:rPr>
          <w:rFonts w:ascii="Times New Roman" w:hAnsi="Times New Roman" w:cs="Times New Roman"/>
          <w:color w:val="FF0000"/>
          <w:sz w:val="24"/>
        </w:rPr>
        <w:t xml:space="preserve">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{"citationItems":[{"id":"ITEM-1","itemData":{"DOI":"10.1016/j.wasman.2015.10.021","ISBN":"9781510810501","ISSN":"18792456","PMID":"26531046","abstract":"There is a lack of literature reporting the methane potential of several livestock manures under the same anaerobic digestion conditions (same inoculum, temperature, time, and size of the digester). To the best of our knowledge, no previous study has reported biochemical methane potential (BMP) predicting models developed and evaluated by solely using at least five different livestock manure tests results. The goal of this study was to evaluate the BMP of five different livestock manures (dairy manure (DM), horse manure (HM), goat manure (GM), chicken manure (CM) and swine manure (SM)) and to predict the BMP using different statistical models. Nutrients of the digested different manures were also monitored. The BMP tests were conducted under mesophilic temperatures with a manure loading factor of 3.5g volatile solids (VS)/L and a feed to inoculum ratio (F/I) of 0.5. Single variable and multiple variable regression models were developed using manure total carbohydrate (TC), crude protein (CP), total fat (TF), lignin (LIG) and acid detergent fiber (ADF), and measured BMP data. Three different kinetic models (first order kinetic model, modified Gompertz model and Chen and Hashimoto model) were evaluated for BMP predictions. The BMPs of DM, HM, GM, CM and SM were measured to be 204, 155, 159, 259, and 323mL/g VS, respectively and the VS removals were calculated to be 58.6%, 52.9%, 46.4%, 81.4%, 81.4%, respectively. The technical digestion time (T80-90,time required to produce 80-90% of total biogas production) for DM, HM, GM, CM and SM was calculated to be in the ranges of 19-28, 27-37, 31-44, 13-18, 12-17days, respectively. The effluents from the HM showed the lowest nitrogen, phosphorus and potassium concentrations. The effluents from the CM digesters showed highest nitrogen and phosphorus concentrations and digested SM showed highest potassium concentration. Based on the results of the regression analysis, the model using the variable of LIG showed the best (R2=0.851, p=0.026) for BMP prediction among the single variable models, and the model including variables of TC and TF showed the best prediction for BMPs (R2=0.913, p=0.068-0.075) comparing with other two-variable models, while the model including variables of CP, LIG and ADF performed the best in BMP prediction (R2=0.999, p=0.009-0.017) if three-variable models were compared. Among the three kinetic models used, the first order kinetic model fitted the measured BMPs data best (R2=0.996-0.998, rRMSE…","author":[{"dropping-particle":"","family":"Kafle","given":"Gopi Krishna","non-dropping-particle":"","parse-names":false,"suffix":""},{"dropping-particle":"","family":"Chen","given":"Lide","non-dropping-particle":"","parse-names":false,"suffix":""}],"container-title":"Waste Management","id":"ITEM-1","issued":{"date-parts":[["2016"]]},"page":"492-502","publisher":"Elsevier Ltd","title":"Comparison on batch anaerobic digestion of five different livestock manures and prediction of biochemical methane potential (BMP) using different statistical models","type":"article-journal","volume":"48"},"uris":["http://www.mendeley.com/documents/?uuid=58958762-2363-433b-9365-57fe75a340be"]}],"mendeley":{"formattedCitation":"(Kafle y Chen 2016)","plainTextFormattedCitation":"(Kafle y Chen 2016)","previouslyFormattedCitation":"(Kafle y Chen 2016)"},"properties":{"noteIndex":0},"schema":"https://github.com/citation-style-language/schema/raw/master/csl-citation.json"}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(Kafle y Chen 2016)</w:t>
      </w:r>
      <w:r w:rsidRPr="00686018">
        <w:rPr>
          <w:rFonts w:ascii="Times New Roman" w:hAnsi="Times New Roman" w:cs="Times New Roman"/>
          <w:sz w:val="24"/>
        </w:rPr>
        <w:fldChar w:fldCharType="end"/>
      </w:r>
      <w:r w:rsidRPr="00686018">
        <w:rPr>
          <w:rFonts w:ascii="Times New Roman" w:hAnsi="Times New Roman" w:cs="Times New Roman"/>
          <w:sz w:val="24"/>
        </w:rPr>
        <w:t xml:space="preserve">. </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45" w:name="_Toc535410458"/>
      <w:bookmarkStart w:id="146" w:name="_Toc9537807"/>
      <w:r w:rsidRPr="00686018">
        <w:rPr>
          <w:rFonts w:ascii="Times New Roman" w:hAnsi="Times New Roman" w:cs="Times New Roman"/>
          <w:i w:val="0"/>
        </w:rPr>
        <w:lastRenderedPageBreak/>
        <w:t>Modelo cinético de primer orden</w:t>
      </w:r>
      <w:bookmarkEnd w:id="145"/>
      <w:bookmarkEnd w:id="146"/>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 xml:space="preserve">El modelo cinético de primer orden es el más simple, este modelo no predice las condiciones para la actividad biológica máxima y las fallas del sistema. Sin embargo, los investigadores han modelado ensayos en lote (PBM) y han obtenido interpretaciones valiosas sobre la cinética de la hidrolisis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{"citationItems":[{"id":"ITEM-1","itemData":{"DOI":"10.1016/j.wasman.2015.10.021","ISBN":"9781510810501","ISSN":"18792456","PMID":"26531046","abstract":"There is a lack of literature reporting the methane potential of several livestock manures under the same anaerobic digestion conditions (same inoculum, temperature, time, and size of the digester). To the best of our knowledge, no previous study has reported biochemical methane potential (BMP) predicting models developed and evaluated by solely using at least five different livestock manure tests results. The goal of this study was to evaluate the BMP of five different livestock manures (dairy manure (DM), horse manure (HM), goat manure (GM), chicken manure (CM) and swine manure (SM)) and to predict the BMP using different statistical models. Nutrients of the digested different manures were also monitored. The BMP tests were conducted under mesophilic temperatures with a manure loading factor of 3.5g volatile solids (VS)/L and a feed to inoculum ratio (F/I) of 0.5. Single variable and multiple variable regression models were developed using manure total carbohydrate (TC), crude protein (CP), total fat (TF), lignin (LIG) and acid detergent fiber (ADF), and measured BMP data. Three different kinetic models (first order kinetic model, modified Gompertz model and Chen and Hashimoto model) were evaluated for BMP predictions. The BMPs of DM, HM, GM, CM and SM were measured to be 204, 155, 159, 259, and 323mL/g VS, respectively and the VS removals were calculated to be 58.6%, 52.9%, 46.4%, 81.4%, 81.4%, respectively. The technical digestion time (T80-90,time required to produce 80-90% of total biogas production) for DM, HM, GM, CM and SM was calculated to be in the ranges of 19-28, 27-37, 31-44, 13-18, 12-17days, respectively. The effluents from the HM showed the lowest nitrogen, phosphorus and potassium concentrations. The effluents from the CM digesters showed highest nitrogen and phosphorus concentrations and digested SM showed highest potassium concentration. Based on the results of the regression analysis, the model using the variable of LIG showed the best (R2=0.851, p=0.026) for BMP prediction among the single variable models, and the model including variables of TC and TF showed the best prediction for BMPs (R2=0.913, p=0.068-0.075) comparing with other two-variable models, while the model including variables of CP, LIG and ADF performed the best in BMP prediction (R2=0.999, p=0.009-0.017) if three-variable models were compared. Among the three kinetic models used, the first order kinetic model fitted the measured BMPs data best (R2=0.996-0.998, rRMSE…","author":[{"dropping-particle":"","family":"Kafle","given":"Gopi Krishna","non-dropping-particle":"","parse-names":false,"suffix":""},{"dropping-particle":"","family":"Chen","given":"Lide","non-dropping-particle":"","parse-names":false,"suffix":""}],"container-title":"Waste Management","id":"ITEM-1","issued":{"date-parts":[["2016"]]},"page":"492-502","publisher":"Elsevier Ltd","title":"Comparison on batch anaerobic digestion of five different livestock manures and prediction of biochemical methane potential (BMP) using different statistical models","type":"article-journal","volume":"48"},"uris":["http://www.mendeley.com/documents/?uuid=58958762-2363-433b-9365-57fe75a340be"]}],"mendeley":{"formattedCitation":"(Kafle y Chen 2016)","plainTextFormattedCitation":"(Kafle y Chen 2016)","previouslyFormattedCitation":"(Kafle y Chen 2016)"},"properties":{"noteIndex":0},"schema":"https://github.com/citation-style-language/schema/raw/master/csl-citation.json"}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(Kafle y Chen 2016)</w:t>
      </w:r>
      <w:r w:rsidRPr="00686018">
        <w:rPr>
          <w:rFonts w:ascii="Times New Roman" w:hAnsi="Times New Roman" w:cs="Times New Roman"/>
          <w:sz w:val="24"/>
        </w:rPr>
        <w:fldChar w:fldCharType="end"/>
      </w:r>
      <w:r w:rsidRPr="00686018">
        <w:rPr>
          <w:rFonts w:ascii="Times New Roman" w:hAnsi="Times New Roman" w:cs="Times New Roman"/>
          <w:sz w:val="24"/>
        </w:rPr>
        <w:t>. Para obtener más información sobre el sustrato usado, como la razón de hidrolisis, siempre que la hidrolisis sea la etapa limitante en el proceso de digestión anaerobia, es posible definir una constante k</w:t>
      </w:r>
      <w:r w:rsidRPr="00686018">
        <w:rPr>
          <w:rFonts w:ascii="Times New Roman" w:hAnsi="Times New Roman" w:cs="Times New Roman"/>
          <w:sz w:val="24"/>
          <w:vertAlign w:val="subscript"/>
        </w:rPr>
        <w:t>h</w:t>
      </w:r>
      <w:r w:rsidRPr="00686018">
        <w:rPr>
          <w:rFonts w:ascii="Times New Roman" w:hAnsi="Times New Roman" w:cs="Times New Roman"/>
          <w:sz w:val="24"/>
        </w:rPr>
        <w:t xml:space="preserve"> (dia</w:t>
      </w:r>
      <w:r w:rsidRPr="00686018">
        <w:rPr>
          <w:rFonts w:ascii="Times New Roman" w:hAnsi="Times New Roman" w:cs="Times New Roman"/>
          <w:sz w:val="24"/>
          <w:vertAlign w:val="superscript"/>
        </w:rPr>
        <w:t>-1</w:t>
      </w:r>
      <w:r w:rsidRPr="00686018">
        <w:rPr>
          <w:rFonts w:ascii="Times New Roman" w:hAnsi="Times New Roman" w:cs="Times New Roman"/>
          <w:sz w:val="24"/>
        </w:rPr>
        <w:t xml:space="preserve">) para un modelo de primer orden. Este valor es característico de un sustrato dado y provee información sobre el tiempo requerido para generar una razón dada de potencial de metano acumulado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{"citationItems":[{"id":"ITEM-1","itemData":{"DOI":"10.2166/wst.2009.040","ISBN":"0273-1223 (Print)\\r0273-1223 (Linking)","ISSN":"02731223","PMID":"19273891","abstract":"The application of anaerobic digestion technology is growing worldwide because of its economic and environmental benefits. As a consequence, a number of studies and research activities dealing with the determination of the biogas potential of solid organic substrates have been carrying out in the recent years. Therefore, it is of particular importance to define a protocol for the determination of the ultimate methane potential for a given solid substrates. In fact, this parameter determines, to a certain extent, both design and economic details of a biogas plant. Furthermore, the definition of common units to be used in anaerobic assays is increasingly requested from the scientific and engineering community. This paper presents some guidelines for biomethane potential assays prepared by the Task Group for the Anaerobic Biodegradation, Activity and Inhibition Assays of the Anaerobic Digestion Specialist Group of the International Water Association. This is the first step for the definition of a standard protocol","author":[{"dropping-particle":"","family":"Angelidaki","given":"I.","non-dropping-particle":"","parse-names":false,"suffix":""},{"dropping-particle":"","family":"Alves","given":"M.","non-dropping-particle":"","parse-names":false,"suffix":""},{"dropping-particle":"","family":"Bolzonella","given":"D.","non-dropping-particle":"","parse-names":false,"suffix":""},{"dropping-particle":"","family":"Borzacconi","given":"L.","non-dropping-particle":"","parse-names":false,"suffix":""},{"dropping-particle":"","family":"Campos","given":"J. L.","non-dropping-particle":"","parse-names":false,"suffix":""},{"dropping-particle":"","family":"Guwy","given":"A. J.","non-dropping-particle":"","parse-names":false,"suffix":""},{"dropping-particle":"","family":"Kalyuzhnyi","given":"S.","non-dropping-particle":"","parse-names":false,"suffix":""},{"dropping-particle":"","family":"Jenicek","given":"P.","non-dropping-particle":"","parse-names":false,"suffix":""},{"dropping-particle":"","family":"Lier","given":"J. B.","non-dropping-particle":"Van","parse-names":false,"suffix":""}],"container-title":"Water Science and Technology","id":"ITEM-1","issue":"5","issued":{"date-parts":[["2009"]]},"page":"927-934","title":"Defining the biomethane potential (BMP) of solid organic wastes and energy crops: A proposed protocol for batch assays","type":"article-journal","volume":"59"},"uris":["http://www.mendeley.com/documents/?uuid=3a8cbd70-766a-45c7-85b1-04c4537eda0b"]}],"mendeley":{"formattedCitation":"(Angelidaki et al. 2009)","plainTextFormattedCitation":"(Angelidaki et al. 2009)","previouslyFormattedCitation":"(Angelidaki et al. 2009)"},"properties":{"noteIndex":0},"schema":"https://github.com/citation-style-language/schema/raw/master/csl-citation.json"}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(Angelidaki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2009)</w:t>
      </w:r>
      <w:r w:rsidRPr="00686018">
        <w:rPr>
          <w:rFonts w:ascii="Times New Roman" w:hAnsi="Times New Roman" w:cs="Times New Roman"/>
          <w:sz w:val="24"/>
        </w:rPr>
        <w:fldChar w:fldCharType="end"/>
      </w:r>
      <w:r w:rsidRPr="00686018">
        <w:rPr>
          <w:rFonts w:ascii="Times New Roman" w:hAnsi="Times New Roman" w:cs="Times New Roman"/>
          <w:sz w:val="24"/>
        </w:rPr>
        <w:t>, según la ecuación.</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1"/>
        <w:gridCol w:w="556"/>
      </w:tblGrid>
      <w:tr w:rsidR="00DF46F4" w:rsidRPr="00686018" w:rsidTr="00DF46F4">
        <w:trPr>
          <w:jc w:val="center"/>
        </w:trPr>
        <w:tc>
          <w:tcPr>
            <w:tcW w:w="7933" w:type="dxa"/>
            <w:vAlign w:val="center"/>
          </w:tcPr>
          <w:p w:rsidR="00DF46F4" w:rsidRPr="00686018" w:rsidRDefault="000B7990" w:rsidP="00A31608">
            <w:pPr>
              <w:jc w:val="both"/>
              <w:rPr>
                <w:rFonts w:ascii="Times New Roman" w:hAnsi="Times New Roman" w:cs="Times New Roman"/>
                <w:sz w:val="24"/>
                <w:szCs w:val="24"/>
              </w:rPr>
            </w:pPr>
            <m:oMathPara>
              <m:oMathParaPr>
                <m:jc m:val="center"/>
              </m:oMathParaPr>
              <m:oMath>
                <m:f>
                  <m:fPr>
                    <m:ctrlPr>
                      <w:rPr>
                        <w:rFonts w:ascii="Cambria Math" w:hAnsi="Cambria Math" w:cs="Times New Roman"/>
                        <w:sz w:val="24"/>
                        <w:szCs w:val="24"/>
                      </w:rPr>
                    </m:ctrlPr>
                  </m:fPr>
                  <m:num>
                    <m:r>
                      <w:rPr>
                        <w:rFonts w:ascii="Cambria Math" w:hAnsi="Cambria Math" w:cs="Times New Roman"/>
                        <w:sz w:val="24"/>
                        <w:szCs w:val="24"/>
                      </w:rPr>
                      <m:t>dC</m:t>
                    </m:r>
                  </m:num>
                  <m:den>
                    <m:r>
                      <w:rPr>
                        <w:rFonts w:ascii="Cambria Math" w:hAnsi="Cambria Math" w:cs="Times New Roman"/>
                        <w:sz w:val="24"/>
                        <w:szCs w:val="24"/>
                      </w:rPr>
                      <m:t>dt</m:t>
                    </m:r>
                  </m:den>
                </m:f>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h</m:t>
                    </m:r>
                  </m:sub>
                </m:sSub>
                <m:r>
                  <m:rPr>
                    <m:sty m:val="p"/>
                  </m:rPr>
                  <w:rPr>
                    <w:rFonts w:ascii="Cambria Math" w:hAnsi="Cambria Math" w:cs="Times New Roman"/>
                    <w:sz w:val="24"/>
                    <w:szCs w:val="24"/>
                  </w:rPr>
                  <m:t>*</m:t>
                </m:r>
                <m:r>
                  <w:rPr>
                    <w:rFonts w:ascii="Cambria Math" w:hAnsi="Cambria Math" w:cs="Times New Roman"/>
                    <w:sz w:val="24"/>
                    <w:szCs w:val="24"/>
                  </w:rPr>
                  <m:t>C</m:t>
                </m:r>
              </m:oMath>
            </m:oMathPara>
          </w:p>
        </w:tc>
        <w:tc>
          <w:tcPr>
            <w:tcW w:w="561" w:type="dxa"/>
            <w:vAlign w:val="center"/>
          </w:tcPr>
          <w:p w:rsidR="00DF46F4" w:rsidRPr="00686018" w:rsidRDefault="0082739E" w:rsidP="00A31608">
            <w:pPr>
              <w:keepNext/>
              <w:tabs>
                <w:tab w:val="left" w:pos="502"/>
              </w:tabs>
              <w:jc w:val="both"/>
              <w:rPr>
                <w:rFonts w:ascii="Times New Roman" w:hAnsi="Times New Roman" w:cs="Times New Roman"/>
                <w:sz w:val="24"/>
                <w:szCs w:val="24"/>
              </w:rPr>
            </w:pPr>
            <w:r w:rsidRPr="00686018">
              <w:rPr>
                <w:rFonts w:ascii="Times New Roman" w:hAnsi="Times New Roman" w:cs="Times New Roman"/>
                <w:sz w:val="24"/>
                <w:szCs w:val="24"/>
              </w:rPr>
              <w:t>(</w:t>
            </w:r>
            <w:r w:rsidR="00DF46F4" w:rsidRPr="00686018">
              <w:rPr>
                <w:rFonts w:ascii="Times New Roman" w:hAnsi="Times New Roman" w:cs="Times New Roman"/>
                <w:sz w:val="24"/>
                <w:szCs w:val="24"/>
              </w:rPr>
              <w:fldChar w:fldCharType="begin"/>
            </w:r>
            <w:r w:rsidR="00DF46F4" w:rsidRPr="00686018">
              <w:rPr>
                <w:rFonts w:ascii="Times New Roman" w:hAnsi="Times New Roman" w:cs="Times New Roman"/>
                <w:sz w:val="24"/>
                <w:szCs w:val="24"/>
              </w:rPr>
              <w:instrText xml:space="preserve"> SEQ ( \* ARABIC </w:instrText>
            </w:r>
            <w:r w:rsidR="00DF46F4" w:rsidRPr="00686018">
              <w:rPr>
                <w:rFonts w:ascii="Times New Roman" w:hAnsi="Times New Roman" w:cs="Times New Roman"/>
                <w:sz w:val="24"/>
                <w:szCs w:val="24"/>
              </w:rPr>
              <w:fldChar w:fldCharType="separate"/>
            </w:r>
            <w:r w:rsidR="00DD0237" w:rsidRPr="00686018">
              <w:rPr>
                <w:rFonts w:ascii="Times New Roman" w:hAnsi="Times New Roman" w:cs="Times New Roman"/>
                <w:noProof/>
                <w:sz w:val="24"/>
                <w:szCs w:val="24"/>
              </w:rPr>
              <w:t>1</w:t>
            </w:r>
            <w:r w:rsidR="00DF46F4" w:rsidRPr="00686018">
              <w:rPr>
                <w:rFonts w:ascii="Times New Roman" w:hAnsi="Times New Roman" w:cs="Times New Roman"/>
                <w:sz w:val="24"/>
                <w:szCs w:val="24"/>
              </w:rPr>
              <w:fldChar w:fldCharType="end"/>
            </w:r>
            <w:r w:rsidR="00DF46F4" w:rsidRPr="00686018">
              <w:rPr>
                <w:rFonts w:ascii="Times New Roman" w:hAnsi="Times New Roman" w:cs="Times New Roman"/>
                <w:sz w:val="24"/>
                <w:szCs w:val="24"/>
              </w:rPr>
              <w:t>)</w:t>
            </w:r>
          </w:p>
        </w:tc>
      </w:tr>
    </w:tbl>
    <w:p w:rsidR="00DF46F4" w:rsidRPr="00686018" w:rsidRDefault="00C91303" w:rsidP="00A31608">
      <w:pPr>
        <w:spacing w:before="360" w:after="360"/>
        <w:jc w:val="both"/>
        <w:rPr>
          <w:rFonts w:ascii="Times New Roman" w:hAnsi="Times New Roman" w:cs="Times New Roman"/>
          <w:sz w:val="24"/>
        </w:rPr>
      </w:pPr>
      <w:r>
        <w:rPr>
          <w:rFonts w:ascii="Times New Roman" w:hAnsi="Times New Roman" w:cs="Times New Roman"/>
          <w:sz w:val="24"/>
        </w:rPr>
        <w:t>Donde, C</w:t>
      </w:r>
      <w:r w:rsidR="00DF46F4" w:rsidRPr="00686018">
        <w:rPr>
          <w:rFonts w:ascii="Times New Roman" w:hAnsi="Times New Roman" w:cs="Times New Roman"/>
          <w:sz w:val="24"/>
        </w:rPr>
        <w:t xml:space="preserve"> (SV) es el sustrato biodegradable, t (días) el tiempo y k</w:t>
      </w:r>
      <w:r w:rsidR="00DF46F4" w:rsidRPr="00686018">
        <w:rPr>
          <w:rFonts w:ascii="Times New Roman" w:hAnsi="Times New Roman" w:cs="Times New Roman"/>
          <w:sz w:val="24"/>
          <w:vertAlign w:val="subscript"/>
        </w:rPr>
        <w:t>h</w:t>
      </w:r>
      <w:r w:rsidR="00DF46F4" w:rsidRPr="00686018">
        <w:rPr>
          <w:rFonts w:ascii="Times New Roman" w:hAnsi="Times New Roman" w:cs="Times New Roman"/>
          <w:sz w:val="24"/>
        </w:rPr>
        <w:t xml:space="preserve"> (dia</w:t>
      </w:r>
      <w:r w:rsidR="00DF46F4" w:rsidRPr="00686018">
        <w:rPr>
          <w:rFonts w:ascii="Times New Roman" w:hAnsi="Times New Roman" w:cs="Times New Roman"/>
          <w:sz w:val="24"/>
          <w:vertAlign w:val="superscript"/>
        </w:rPr>
        <w:t>-1</w:t>
      </w:r>
      <w:r w:rsidR="00DF46F4" w:rsidRPr="00686018">
        <w:rPr>
          <w:rFonts w:ascii="Times New Roman" w:hAnsi="Times New Roman" w:cs="Times New Roman"/>
          <w:sz w:val="24"/>
        </w:rPr>
        <w:t>) la constante hidrolítica de primer orden.</w:t>
      </w:r>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Reordenando la ecuación (1) e integrando para un tiempo t=0 a t=t queda:</w:t>
      </w:r>
    </w:p>
    <w:p w:rsidR="00DF46F4" w:rsidRPr="00686018" w:rsidRDefault="000B7990" w:rsidP="00A31608">
      <w:pPr>
        <w:spacing w:before="360" w:after="360"/>
        <w:jc w:val="both"/>
        <w:rPr>
          <w:rFonts w:ascii="Times New Roman" w:eastAsiaTheme="minorEastAsia" w:hAnsi="Times New Roman" w:cs="Times New Roman"/>
          <w:sz w:val="24"/>
        </w:rPr>
      </w:pPr>
      <m:oMathPara>
        <m:oMath>
          <m:nary>
            <m:naryPr>
              <m:limLoc m:val="undOvr"/>
              <m:ctrlPr>
                <w:rPr>
                  <w:rFonts w:ascii="Cambria Math" w:hAnsi="Cambria Math" w:cs="Times New Roman"/>
                  <w:sz w:val="24"/>
                </w:rPr>
              </m:ctrlPr>
            </m:naryPr>
            <m:sub>
              <m:r>
                <w:rPr>
                  <w:rFonts w:ascii="Cambria Math" w:hAnsi="Cambria Math" w:cs="Times New Roman"/>
                  <w:sz w:val="24"/>
                </w:rPr>
                <m:t>C</m:t>
              </m:r>
              <m:r>
                <m:rPr>
                  <m:sty m:val="p"/>
                </m:rPr>
                <w:rPr>
                  <w:rFonts w:ascii="Cambria Math" w:hAnsi="Cambria Math" w:cs="Times New Roman"/>
                  <w:sz w:val="24"/>
                </w:rPr>
                <m:t>0</m:t>
              </m:r>
            </m:sub>
            <m:sup>
              <m:r>
                <w:rPr>
                  <w:rFonts w:ascii="Cambria Math" w:hAnsi="Cambria Math" w:cs="Times New Roman"/>
                  <w:sz w:val="24"/>
                </w:rPr>
                <m:t>Ct</m:t>
              </m:r>
            </m:sup>
            <m:e>
              <m:f>
                <m:fPr>
                  <m:ctrlPr>
                    <w:rPr>
                      <w:rFonts w:ascii="Cambria Math" w:hAnsi="Cambria Math" w:cs="Times New Roman"/>
                      <w:sz w:val="24"/>
                    </w:rPr>
                  </m:ctrlPr>
                </m:fPr>
                <m:num>
                  <m:r>
                    <w:rPr>
                      <w:rFonts w:ascii="Cambria Math" w:hAnsi="Cambria Math" w:cs="Times New Roman"/>
                      <w:sz w:val="24"/>
                    </w:rPr>
                    <m:t>dc</m:t>
                  </m:r>
                </m:num>
                <m:den>
                  <m:r>
                    <w:rPr>
                      <w:rFonts w:ascii="Cambria Math" w:hAnsi="Cambria Math" w:cs="Times New Roman"/>
                      <w:sz w:val="24"/>
                    </w:rPr>
                    <m:t>c</m:t>
                  </m:r>
                </m:den>
              </m:f>
              <m:r>
                <m:rPr>
                  <m:sty m:val="p"/>
                </m:rPr>
                <w:rPr>
                  <w:rFonts w:ascii="Cambria Math" w:hAnsi="Cambria Math" w:cs="Times New Roman"/>
                  <w:sz w:val="24"/>
                </w:rPr>
                <m:t>=</m:t>
              </m:r>
              <m:nary>
                <m:naryPr>
                  <m:limLoc m:val="undOvr"/>
                  <m:ctrlPr>
                    <w:rPr>
                      <w:rFonts w:ascii="Cambria Math" w:hAnsi="Cambria Math" w:cs="Times New Roman"/>
                      <w:sz w:val="24"/>
                    </w:rPr>
                  </m:ctrlPr>
                </m:naryPr>
                <m:sub>
                  <m:r>
                    <m:rPr>
                      <m:sty m:val="p"/>
                    </m:rPr>
                    <w:rPr>
                      <w:rFonts w:ascii="Cambria Math" w:hAnsi="Cambria Math" w:cs="Times New Roman"/>
                      <w:sz w:val="24"/>
                    </w:rPr>
                    <m:t>0</m:t>
                  </m:r>
                </m:sub>
                <m:sup>
                  <m:r>
                    <w:rPr>
                      <w:rFonts w:ascii="Cambria Math" w:hAnsi="Cambria Math" w:cs="Times New Roman"/>
                      <w:sz w:val="24"/>
                    </w:rPr>
                    <m:t>t</m:t>
                  </m:r>
                </m:sup>
                <m:e>
                  <m:r>
                    <m:rPr>
                      <m:sty m:val="p"/>
                    </m:rPr>
                    <w:rPr>
                      <w:rFonts w:ascii="Cambria Math" w:hAnsi="Cambria Math" w:cs="Times New Roman"/>
                      <w:sz w:val="24"/>
                    </w:rPr>
                    <m:t>-</m:t>
                  </m:r>
                  <m:r>
                    <w:rPr>
                      <w:rFonts w:ascii="Cambria Math" w:hAnsi="Cambria Math" w:cs="Times New Roman"/>
                      <w:sz w:val="24"/>
                    </w:rPr>
                    <m:t>kdt</m:t>
                  </m:r>
                </m:e>
              </m:nary>
            </m:e>
          </m:nary>
        </m:oMath>
      </m:oMathPara>
    </w:p>
    <w:p w:rsidR="00DF46F4" w:rsidRPr="00686018" w:rsidRDefault="000B7990" w:rsidP="00A31608">
      <w:pPr>
        <w:spacing w:before="360" w:after="360"/>
        <w:jc w:val="both"/>
        <w:rPr>
          <w:rFonts w:ascii="Times New Roman" w:eastAsiaTheme="minorEastAsia" w:hAnsi="Times New Roman" w:cs="Times New Roman"/>
          <w:sz w:val="24"/>
        </w:rPr>
      </w:pPr>
      <m:oMathPara>
        <m:oMath>
          <m:func>
            <m:funcPr>
              <m:ctrlPr>
                <w:rPr>
                  <w:rFonts w:ascii="Cambria Math" w:hAnsi="Cambria Math" w:cs="Times New Roman"/>
                  <w:sz w:val="24"/>
                </w:rPr>
              </m:ctrlPr>
            </m:funcPr>
            <m:fName>
              <m:r>
                <w:rPr>
                  <w:rFonts w:ascii="Cambria Math" w:hAnsi="Cambria Math" w:cs="Times New Roman"/>
                  <w:sz w:val="24"/>
                </w:rPr>
                <m:t>ln</m:t>
              </m:r>
            </m:fName>
            <m:e>
              <m:d>
                <m:dPr>
                  <m:begChr m:val="["/>
                  <m:endChr m:val="]"/>
                  <m:ctrlPr>
                    <w:rPr>
                      <w:rFonts w:ascii="Cambria Math" w:hAnsi="Cambria Math" w:cs="Times New Roman"/>
                      <w:sz w:val="24"/>
                    </w:rPr>
                  </m:ctrlPr>
                </m:dPr>
                <m:e>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C</m:t>
                          </m:r>
                        </m:e>
                        <m:sub>
                          <m:r>
                            <w:rPr>
                              <w:rFonts w:ascii="Cambria Math" w:hAnsi="Cambria Math" w:cs="Times New Roman"/>
                              <w:sz w:val="24"/>
                            </w:rPr>
                            <m:t>t</m:t>
                          </m:r>
                        </m:sub>
                      </m:sSub>
                    </m:num>
                    <m:den>
                      <m:sSub>
                        <m:sSubPr>
                          <m:ctrlPr>
                            <w:rPr>
                              <w:rFonts w:ascii="Cambria Math" w:hAnsi="Cambria Math" w:cs="Times New Roman"/>
                              <w:sz w:val="24"/>
                            </w:rPr>
                          </m:ctrlPr>
                        </m:sSubPr>
                        <m:e>
                          <m:r>
                            <w:rPr>
                              <w:rFonts w:ascii="Cambria Math" w:hAnsi="Cambria Math" w:cs="Times New Roman"/>
                              <w:sz w:val="24"/>
                            </w:rPr>
                            <m:t>C</m:t>
                          </m:r>
                        </m:e>
                        <m:sub>
                          <m:r>
                            <m:rPr>
                              <m:sty m:val="p"/>
                            </m:rPr>
                            <w:rPr>
                              <w:rFonts w:ascii="Cambria Math" w:hAnsi="Cambria Math" w:cs="Times New Roman"/>
                              <w:sz w:val="24"/>
                            </w:rPr>
                            <m:t>0</m:t>
                          </m:r>
                        </m:sub>
                      </m:sSub>
                    </m:den>
                  </m:f>
                </m:e>
              </m:d>
            </m:e>
          </m:func>
          <m:r>
            <m:rPr>
              <m:sty m:val="p"/>
            </m:rPr>
            <w:rPr>
              <w:rFonts w:ascii="Cambria Math" w:hAnsi="Cambria Math" w:cs="Times New Roman"/>
              <w:sz w:val="24"/>
            </w:rPr>
            <m:t>=-</m:t>
          </m:r>
          <m:r>
            <w:rPr>
              <w:rFonts w:ascii="Cambria Math" w:hAnsi="Cambria Math" w:cs="Times New Roman"/>
              <w:sz w:val="24"/>
            </w:rPr>
            <m:t>kt</m:t>
          </m:r>
        </m:oMath>
      </m:oMathPara>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1"/>
        <w:gridCol w:w="556"/>
      </w:tblGrid>
      <w:tr w:rsidR="00DF46F4" w:rsidRPr="00686018" w:rsidTr="00DF46F4">
        <w:tc>
          <w:tcPr>
            <w:tcW w:w="7933" w:type="dxa"/>
            <w:vAlign w:val="center"/>
          </w:tcPr>
          <w:p w:rsidR="00DF46F4" w:rsidRPr="00686018" w:rsidRDefault="000B7990" w:rsidP="00A31608">
            <w:pPr>
              <w:jc w:val="both"/>
              <w:rPr>
                <w:rFonts w:ascii="Times New Roman" w:hAnsi="Times New Roman" w:cs="Times New Roman"/>
                <w:sz w:val="24"/>
                <w:szCs w:val="24"/>
              </w:rPr>
            </w:pPr>
            <m:oMathPara>
              <m:oMathParaPr>
                <m:jc m:val="center"/>
              </m:oMathParaPr>
              <m:oMath>
                <m:d>
                  <m:dPr>
                    <m:begChr m:val="["/>
                    <m:endChr m:val="]"/>
                    <m:ctrlPr>
                      <w:rPr>
                        <w:rFonts w:ascii="Cambria Math" w:hAnsi="Cambria Math" w:cs="Times New Roman"/>
                        <w:sz w:val="24"/>
                      </w:rPr>
                    </m:ctrlPr>
                  </m:dPr>
                  <m:e>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C</m:t>
                            </m:r>
                          </m:e>
                          <m:sub>
                            <m:r>
                              <w:rPr>
                                <w:rFonts w:ascii="Cambria Math" w:hAnsi="Cambria Math" w:cs="Times New Roman"/>
                                <w:sz w:val="24"/>
                              </w:rPr>
                              <m:t>t</m:t>
                            </m:r>
                          </m:sub>
                        </m:sSub>
                      </m:num>
                      <m:den>
                        <m:sSub>
                          <m:sSubPr>
                            <m:ctrlPr>
                              <w:rPr>
                                <w:rFonts w:ascii="Cambria Math" w:hAnsi="Cambria Math" w:cs="Times New Roman"/>
                                <w:sz w:val="24"/>
                              </w:rPr>
                            </m:ctrlPr>
                          </m:sSubPr>
                          <m:e>
                            <m:r>
                              <w:rPr>
                                <w:rFonts w:ascii="Cambria Math" w:hAnsi="Cambria Math" w:cs="Times New Roman"/>
                                <w:sz w:val="24"/>
                              </w:rPr>
                              <m:t>C</m:t>
                            </m:r>
                          </m:e>
                          <m:sub>
                            <m:r>
                              <m:rPr>
                                <m:sty m:val="p"/>
                              </m:rPr>
                              <w:rPr>
                                <w:rFonts w:ascii="Cambria Math" w:hAnsi="Cambria Math" w:cs="Times New Roman"/>
                                <w:sz w:val="24"/>
                              </w:rPr>
                              <m:t>0</m:t>
                            </m:r>
                          </m:sub>
                        </m:sSub>
                      </m:den>
                    </m:f>
                  </m:e>
                </m:d>
                <m:r>
                  <m:rPr>
                    <m:sty m:val="p"/>
                  </m:rPr>
                  <w:rPr>
                    <w:rFonts w:ascii="Cambria Math" w:hAnsi="Cambria Math" w:cs="Times New Roman"/>
                    <w:sz w:val="24"/>
                  </w:rPr>
                  <m:t>=</m:t>
                </m:r>
                <m:sSup>
                  <m:sSupPr>
                    <m:ctrlPr>
                      <w:rPr>
                        <w:rFonts w:ascii="Cambria Math" w:hAnsi="Cambria Math" w:cs="Times New Roman"/>
                        <w:sz w:val="24"/>
                      </w:rPr>
                    </m:ctrlPr>
                  </m:sSupPr>
                  <m:e>
                    <m:r>
                      <w:rPr>
                        <w:rFonts w:ascii="Cambria Math" w:hAnsi="Cambria Math" w:cs="Times New Roman"/>
                        <w:sz w:val="24"/>
                      </w:rPr>
                      <m:t>e</m:t>
                    </m:r>
                  </m:e>
                  <m:sup>
                    <m:r>
                      <m:rPr>
                        <m:sty m:val="p"/>
                      </m:rPr>
                      <w:rPr>
                        <w:rFonts w:ascii="Cambria Math" w:hAnsi="Cambria Math" w:cs="Times New Roman"/>
                        <w:sz w:val="24"/>
                      </w:rPr>
                      <m:t>-</m:t>
                    </m:r>
                    <m:r>
                      <w:rPr>
                        <w:rFonts w:ascii="Cambria Math" w:hAnsi="Cambria Math" w:cs="Times New Roman"/>
                        <w:sz w:val="24"/>
                      </w:rPr>
                      <m:t>kt</m:t>
                    </m:r>
                  </m:sup>
                </m:sSup>
              </m:oMath>
            </m:oMathPara>
          </w:p>
        </w:tc>
        <w:tc>
          <w:tcPr>
            <w:tcW w:w="561" w:type="dxa"/>
            <w:vAlign w:val="center"/>
          </w:tcPr>
          <w:p w:rsidR="00DF46F4" w:rsidRPr="00686018" w:rsidRDefault="0082739E" w:rsidP="00A31608">
            <w:pPr>
              <w:keepNext/>
              <w:tabs>
                <w:tab w:val="left" w:pos="502"/>
              </w:tabs>
              <w:jc w:val="both"/>
              <w:rPr>
                <w:rFonts w:ascii="Times New Roman" w:hAnsi="Times New Roman" w:cs="Times New Roman"/>
                <w:sz w:val="24"/>
                <w:szCs w:val="24"/>
              </w:rPr>
            </w:pPr>
            <w:r w:rsidRPr="00686018">
              <w:rPr>
                <w:rFonts w:ascii="Times New Roman" w:hAnsi="Times New Roman" w:cs="Times New Roman"/>
                <w:sz w:val="24"/>
                <w:szCs w:val="24"/>
              </w:rPr>
              <w:t>(</w:t>
            </w:r>
            <w:r w:rsidR="00DF46F4" w:rsidRPr="00686018">
              <w:rPr>
                <w:rFonts w:ascii="Times New Roman" w:hAnsi="Times New Roman" w:cs="Times New Roman"/>
                <w:sz w:val="24"/>
                <w:szCs w:val="24"/>
              </w:rPr>
              <w:fldChar w:fldCharType="begin"/>
            </w:r>
            <w:r w:rsidR="00DF46F4" w:rsidRPr="00686018">
              <w:rPr>
                <w:rFonts w:ascii="Times New Roman" w:hAnsi="Times New Roman" w:cs="Times New Roman"/>
                <w:sz w:val="24"/>
                <w:szCs w:val="24"/>
              </w:rPr>
              <w:instrText xml:space="preserve"> SEQ ( \* ARABIC </w:instrText>
            </w:r>
            <w:r w:rsidR="00DF46F4" w:rsidRPr="00686018">
              <w:rPr>
                <w:rFonts w:ascii="Times New Roman" w:hAnsi="Times New Roman" w:cs="Times New Roman"/>
                <w:sz w:val="24"/>
                <w:szCs w:val="24"/>
              </w:rPr>
              <w:fldChar w:fldCharType="separate"/>
            </w:r>
            <w:r w:rsidR="00DD0237" w:rsidRPr="00686018">
              <w:rPr>
                <w:rFonts w:ascii="Times New Roman" w:hAnsi="Times New Roman" w:cs="Times New Roman"/>
                <w:noProof/>
                <w:sz w:val="24"/>
                <w:szCs w:val="24"/>
              </w:rPr>
              <w:t>2</w:t>
            </w:r>
            <w:r w:rsidR="00DF46F4" w:rsidRPr="00686018">
              <w:rPr>
                <w:rFonts w:ascii="Times New Roman" w:hAnsi="Times New Roman" w:cs="Times New Roman"/>
                <w:sz w:val="24"/>
                <w:szCs w:val="24"/>
              </w:rPr>
              <w:fldChar w:fldCharType="end"/>
            </w:r>
            <w:r w:rsidR="00DF46F4" w:rsidRPr="00686018">
              <w:rPr>
                <w:rFonts w:ascii="Times New Roman" w:hAnsi="Times New Roman" w:cs="Times New Roman"/>
                <w:sz w:val="24"/>
                <w:szCs w:val="24"/>
              </w:rPr>
              <w:t>)</w:t>
            </w:r>
          </w:p>
        </w:tc>
      </w:tr>
    </w:tbl>
    <w:p w:rsidR="00DF46F4" w:rsidRPr="00686018" w:rsidRDefault="00DF46F4" w:rsidP="00A31608">
      <w:pPr>
        <w:spacing w:before="360" w:after="36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La relación entre SV y producción de metano se puede describir como</w:t>
      </w:r>
      <w:r w:rsidRPr="00686018">
        <w:rPr>
          <w:rFonts w:ascii="Times New Roman" w:hAnsi="Times New Roman" w:cs="Times New Roman"/>
          <w:color w:val="FF0000"/>
          <w:sz w:val="24"/>
        </w:rPr>
        <w:t xml:space="preserve">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{"citationItems":[{"id":"ITEM-1","itemData":{"DOI":"10.1016/j.wasman.2015.10.021","ISBN":"9781510810501","ISSN":"18792456","PMID":"26531046","abstract":"There is a lack of literature reporting the methane potential of several livestock manures under the same anaerobic digestion conditions (same inoculum, temperature, time, and size of the digester). To the best of our knowledge, no previous study has reported biochemical methane potential (BMP) predicting models developed and evaluated by solely using at least five different livestock manure tests results. The goal of this study was to evaluate the BMP of five different livestock manures (dairy manure (DM), horse manure (HM), goat manure (GM), chicken manure (CM) and swine manure (SM)) and to predict the BMP using different statistical models. Nutrients of the digested different manures were also monitored. The BMP tests were conducted under mesophilic temperatures with a manure loading factor of 3.5g volatile solids (VS)/L and a feed to inoculum ratio (F/I) of 0.5. Single variable and multiple variable regression models were developed using manure total carbohydrate (TC), crude protein (CP), total fat (TF), lignin (LIG) and acid detergent fiber (ADF), and measured BMP data. Three different kinetic models (first order kinetic model, modified Gompertz model and Chen and Hashimoto model) were evaluated for BMP predictions. The BMPs of DM, HM, GM, CM and SM were measured to be 204, 155, 159, 259, and 323mL/g VS, respectively and the VS removals were calculated to be 58.6%, 52.9%, 46.4%, 81.4%, 81.4%, respectively. The technical digestion time (T80-90,time required to produce 80-90% of total biogas production) for DM, HM, GM, CM and SM was calculated to be in the ranges of 19-28, 27-37, 31-44, 13-18, 12-17days, respectively. The effluents from the HM showed the lowest nitrogen, phosphorus and potassium concentrations. The effluents from the CM digesters showed highest nitrogen and phosphorus concentrations and digested SM showed highest potassium concentration. Based on the results of the regression analysis, the model using the variable of LIG showed the best (R2=0.851, p=0.026) for BMP prediction among the single variable models, and the model including variables of TC and TF showed the best prediction for BMPs (R2=0.913, p=0.068-0.075) comparing with other two-variable models, while the model including variables of CP, LIG and ADF performed the best in BMP prediction (R2=0.999, p=0.009-0.017) if three-variable models were compared. Among the three kinetic models used, the first order kinetic model fitted the measured BMPs data best (R2=0.996-0.998, rRMSE…","author":[{"dropping-particle":"","family":"Kafle","given":"Gopi Krishna","non-dropping-particle":"","parse-names":false,"suffix":""},{"dropping-particle":"","family":"Chen","given":"Lide","non-dropping-particle":"","parse-names":false,"suffix":""}],"container-title":"Waste Management","id":"ITEM-1","issued":{"date-parts":[["2016"]]},"page":"492-502","publisher":"Elsevier Ltd","title":"Comparison on batch anaerobic digestion of five different livestock manures and prediction of biochemical methane potential (BMP) using different statistical models","type":"article-journal","volume":"48"},"uris":["http://www.mendeley.com/documents/?uuid=58958762-2363-433b-9365-57fe75a340be"]}],"mendeley":{"formattedCitation":"(Kafle y Chen 2016)","plainTextFormattedCitation":"(Kafle y Chen 2016)","previouslyFormattedCitation":"(Kafle y Chen 2016)"},"properties":{"noteIndex":0},"schema":"https://github.com/citation-style-language/schema/raw/master/csl-citation.json"}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(Kafle y Chen 2016)</w:t>
      </w:r>
      <w:r w:rsidRPr="00686018">
        <w:rPr>
          <w:rFonts w:ascii="Times New Roman" w:hAnsi="Times New Roman" w:cs="Times New Roman"/>
          <w:sz w:val="24"/>
        </w:rPr>
        <w:fldChar w:fldCharType="end"/>
      </w:r>
      <w:r w:rsidRPr="00686018">
        <w:rPr>
          <w:rFonts w:ascii="Times New Roman" w:eastAsiaTheme="minorEastAsia" w:hAnsi="Times New Roman" w:cs="Times New Roman"/>
          <w:sz w:val="24"/>
        </w:rPr>
        <w:t>:</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2"/>
        <w:gridCol w:w="555"/>
      </w:tblGrid>
      <w:tr w:rsidR="00DF46F4" w:rsidRPr="00686018" w:rsidTr="00DF46F4">
        <w:trPr>
          <w:jc w:val="center"/>
        </w:trPr>
        <w:tc>
          <w:tcPr>
            <w:tcW w:w="7933" w:type="dxa"/>
            <w:vAlign w:val="center"/>
          </w:tcPr>
          <w:p w:rsidR="00DF46F4" w:rsidRPr="00686018" w:rsidRDefault="000B7990" w:rsidP="00A31608">
            <w:pPr>
              <w:jc w:val="both"/>
              <w:rPr>
                <w:rFonts w:ascii="Times New Roman" w:hAnsi="Times New Roman" w:cs="Times New Roman"/>
                <w:sz w:val="24"/>
                <w:szCs w:val="24"/>
              </w:rPr>
            </w:pPr>
            <m:oMathPara>
              <m:oMathParaPr>
                <m:jc m:val="center"/>
              </m:oMathParaPr>
              <m:oMath>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C</m:t>
                        </m:r>
                      </m:e>
                      <m:sub>
                        <m:r>
                          <w:rPr>
                            <w:rFonts w:ascii="Cambria Math" w:hAnsi="Cambria Math" w:cs="Times New Roman"/>
                            <w:sz w:val="24"/>
                          </w:rPr>
                          <m:t>t</m:t>
                        </m:r>
                      </m:sub>
                    </m:sSub>
                  </m:num>
                  <m:den>
                    <m:sSub>
                      <m:sSubPr>
                        <m:ctrlPr>
                          <w:rPr>
                            <w:rFonts w:ascii="Cambria Math" w:hAnsi="Cambria Math" w:cs="Times New Roman"/>
                            <w:sz w:val="24"/>
                          </w:rPr>
                        </m:ctrlPr>
                      </m:sSubPr>
                      <m:e>
                        <m:r>
                          <w:rPr>
                            <w:rFonts w:ascii="Cambria Math" w:hAnsi="Cambria Math" w:cs="Times New Roman"/>
                            <w:sz w:val="24"/>
                          </w:rPr>
                          <m:t>C</m:t>
                        </m:r>
                      </m:e>
                      <m:sub>
                        <m:r>
                          <m:rPr>
                            <m:sty m:val="p"/>
                          </m:rPr>
                          <w:rPr>
                            <w:rFonts w:ascii="Cambria Math" w:hAnsi="Cambria Math" w:cs="Times New Roman"/>
                            <w:sz w:val="24"/>
                          </w:rPr>
                          <m:t>0</m:t>
                        </m:r>
                      </m:sub>
                    </m:sSub>
                  </m:den>
                </m:f>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B</m:t>
                        </m:r>
                      </m:e>
                      <m:sub>
                        <m:r>
                          <m:rPr>
                            <m:sty m:val="p"/>
                          </m:rPr>
                          <w:rPr>
                            <w:rFonts w:ascii="Cambria Math" w:hAnsi="Cambria Math" w:cs="Times New Roman"/>
                            <w:sz w:val="24"/>
                          </w:rPr>
                          <m:t>0</m:t>
                        </m:r>
                      </m:sub>
                    </m:sSub>
                    <m:r>
                      <m:rPr>
                        <m:sty m:val="p"/>
                      </m:rPr>
                      <w:rPr>
                        <w:rFonts w:ascii="Cambria Math" w:hAnsi="Cambria Math" w:cs="Times New Roman"/>
                        <w:sz w:val="24"/>
                      </w:rPr>
                      <m:t>-</m:t>
                    </m:r>
                    <m:r>
                      <w:rPr>
                        <w:rFonts w:ascii="Cambria Math" w:hAnsi="Cambria Math" w:cs="Times New Roman"/>
                        <w:sz w:val="24"/>
                      </w:rPr>
                      <m:t>B</m:t>
                    </m:r>
                    <m:r>
                      <m:rPr>
                        <m:sty m:val="p"/>
                      </m:rPr>
                      <w:rPr>
                        <w:rFonts w:ascii="Cambria Math" w:hAnsi="Cambria Math" w:cs="Times New Roman"/>
                        <w:sz w:val="24"/>
                      </w:rPr>
                      <m:t>(</m:t>
                    </m:r>
                    <m:r>
                      <w:rPr>
                        <w:rFonts w:ascii="Cambria Math" w:hAnsi="Cambria Math" w:cs="Times New Roman"/>
                        <w:sz w:val="24"/>
                      </w:rPr>
                      <m:t>t</m:t>
                    </m:r>
                    <m:r>
                      <m:rPr>
                        <m:sty m:val="p"/>
                      </m:rPr>
                      <w:rPr>
                        <w:rFonts w:ascii="Cambria Math" w:hAnsi="Cambria Math" w:cs="Times New Roman"/>
                        <w:sz w:val="24"/>
                      </w:rPr>
                      <m:t>)</m:t>
                    </m:r>
                  </m:num>
                  <m:den>
                    <m:sSub>
                      <m:sSubPr>
                        <m:ctrlPr>
                          <w:rPr>
                            <w:rFonts w:ascii="Cambria Math" w:hAnsi="Cambria Math" w:cs="Times New Roman"/>
                            <w:sz w:val="24"/>
                          </w:rPr>
                        </m:ctrlPr>
                      </m:sSubPr>
                      <m:e>
                        <m:r>
                          <w:rPr>
                            <w:rFonts w:ascii="Cambria Math" w:hAnsi="Cambria Math" w:cs="Times New Roman"/>
                            <w:sz w:val="24"/>
                          </w:rPr>
                          <m:t>B</m:t>
                        </m:r>
                      </m:e>
                      <m:sub>
                        <m:r>
                          <m:rPr>
                            <m:sty m:val="p"/>
                          </m:rPr>
                          <w:rPr>
                            <w:rFonts w:ascii="Cambria Math" w:hAnsi="Cambria Math" w:cs="Times New Roman"/>
                            <w:sz w:val="24"/>
                          </w:rPr>
                          <m:t>0</m:t>
                        </m:r>
                      </m:sub>
                    </m:sSub>
                  </m:den>
                </m:f>
              </m:oMath>
            </m:oMathPara>
          </w:p>
        </w:tc>
        <w:tc>
          <w:tcPr>
            <w:tcW w:w="561" w:type="dxa"/>
            <w:vAlign w:val="center"/>
          </w:tcPr>
          <w:p w:rsidR="00DF46F4" w:rsidRPr="00686018" w:rsidRDefault="0082739E" w:rsidP="00A31608">
            <w:pPr>
              <w:keepNext/>
              <w:tabs>
                <w:tab w:val="left" w:pos="502"/>
              </w:tabs>
              <w:jc w:val="both"/>
              <w:rPr>
                <w:rFonts w:ascii="Times New Roman" w:hAnsi="Times New Roman" w:cs="Times New Roman"/>
                <w:sz w:val="24"/>
                <w:szCs w:val="24"/>
              </w:rPr>
            </w:pPr>
            <w:r w:rsidRPr="00686018">
              <w:rPr>
                <w:rFonts w:ascii="Times New Roman" w:hAnsi="Times New Roman" w:cs="Times New Roman"/>
                <w:sz w:val="24"/>
                <w:szCs w:val="24"/>
              </w:rPr>
              <w:t>(</w:t>
            </w:r>
            <w:r w:rsidR="00DF46F4" w:rsidRPr="00686018">
              <w:rPr>
                <w:rFonts w:ascii="Times New Roman" w:hAnsi="Times New Roman" w:cs="Times New Roman"/>
                <w:sz w:val="24"/>
                <w:szCs w:val="24"/>
              </w:rPr>
              <w:fldChar w:fldCharType="begin"/>
            </w:r>
            <w:r w:rsidR="00DF46F4" w:rsidRPr="00686018">
              <w:rPr>
                <w:rFonts w:ascii="Times New Roman" w:hAnsi="Times New Roman" w:cs="Times New Roman"/>
                <w:sz w:val="24"/>
                <w:szCs w:val="24"/>
              </w:rPr>
              <w:instrText xml:space="preserve"> SEQ ( \* ARABIC </w:instrText>
            </w:r>
            <w:r w:rsidR="00DF46F4" w:rsidRPr="00686018">
              <w:rPr>
                <w:rFonts w:ascii="Times New Roman" w:hAnsi="Times New Roman" w:cs="Times New Roman"/>
                <w:sz w:val="24"/>
                <w:szCs w:val="24"/>
              </w:rPr>
              <w:fldChar w:fldCharType="separate"/>
            </w:r>
            <w:r w:rsidR="00DD0237" w:rsidRPr="00686018">
              <w:rPr>
                <w:rFonts w:ascii="Times New Roman" w:hAnsi="Times New Roman" w:cs="Times New Roman"/>
                <w:noProof/>
                <w:sz w:val="24"/>
                <w:szCs w:val="24"/>
              </w:rPr>
              <w:t>3</w:t>
            </w:r>
            <w:r w:rsidR="00DF46F4" w:rsidRPr="00686018">
              <w:rPr>
                <w:rFonts w:ascii="Times New Roman" w:hAnsi="Times New Roman" w:cs="Times New Roman"/>
                <w:sz w:val="24"/>
                <w:szCs w:val="24"/>
              </w:rPr>
              <w:fldChar w:fldCharType="end"/>
            </w:r>
            <w:r w:rsidR="00DF46F4" w:rsidRPr="00686018">
              <w:rPr>
                <w:rFonts w:ascii="Times New Roman" w:hAnsi="Times New Roman" w:cs="Times New Roman"/>
                <w:sz w:val="24"/>
                <w:szCs w:val="24"/>
              </w:rPr>
              <w:t>)</w:t>
            </w:r>
          </w:p>
        </w:tc>
      </w:tr>
    </w:tbl>
    <w:p w:rsidR="00DF46F4" w:rsidRPr="00686018" w:rsidRDefault="00DF46F4" w:rsidP="00A31608">
      <w:pPr>
        <w:spacing w:before="240" w:after="24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Sustituyendo (3) en la ecuación (2) da: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1"/>
        <w:gridCol w:w="556"/>
      </w:tblGrid>
      <w:tr w:rsidR="00DF46F4" w:rsidRPr="00686018" w:rsidTr="00DF46F4">
        <w:tc>
          <w:tcPr>
            <w:tcW w:w="7933" w:type="dxa"/>
            <w:vAlign w:val="center"/>
          </w:tcPr>
          <w:p w:rsidR="00DF46F4" w:rsidRPr="00686018" w:rsidRDefault="00686018" w:rsidP="00A31608">
            <w:pPr>
              <w:jc w:val="both"/>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B</m:t>
                </m:r>
                <m:d>
                  <m:dPr>
                    <m:ctrlPr>
                      <w:rPr>
                        <w:rFonts w:ascii="Cambria Math" w:hAnsi="Cambria Math" w:cs="Times New Roman"/>
                        <w:b/>
                        <w:sz w:val="24"/>
                        <w:szCs w:val="24"/>
                      </w:rPr>
                    </m:ctrlPr>
                  </m:dPr>
                  <m:e>
                    <m:r>
                      <m:rPr>
                        <m:sty m:val="bi"/>
                      </m:rPr>
                      <w:rPr>
                        <w:rFonts w:ascii="Cambria Math" w:hAnsi="Cambria Math" w:cs="Times New Roman"/>
                        <w:sz w:val="24"/>
                        <w:szCs w:val="24"/>
                      </w:rPr>
                      <m:t>t</m:t>
                    </m:r>
                  </m:e>
                </m:d>
                <m:r>
                  <m:rPr>
                    <m:sty m:val="b"/>
                  </m:rPr>
                  <w:rPr>
                    <w:rFonts w:ascii="Cambria Math" w:hAnsi="Cambria Math" w:cs="Times New Roman"/>
                    <w:sz w:val="24"/>
                    <w:szCs w:val="24"/>
                  </w:rPr>
                  <m:t>=</m:t>
                </m:r>
                <m:sSub>
                  <m:sSubPr>
                    <m:ctrlPr>
                      <w:rPr>
                        <w:rFonts w:ascii="Cambria Math" w:hAnsi="Cambria Math" w:cs="Times New Roman"/>
                        <w:b/>
                        <w:sz w:val="24"/>
                        <w:szCs w:val="24"/>
                      </w:rPr>
                    </m:ctrlPr>
                  </m:sSubPr>
                  <m:e>
                    <m:r>
                      <m:rPr>
                        <m:sty m:val="bi"/>
                      </m:rPr>
                      <w:rPr>
                        <w:rFonts w:ascii="Cambria Math" w:hAnsi="Cambria Math" w:cs="Times New Roman"/>
                        <w:sz w:val="24"/>
                        <w:szCs w:val="24"/>
                      </w:rPr>
                      <m:t>B</m:t>
                    </m:r>
                  </m:e>
                  <m:sub>
                    <m:r>
                      <m:rPr>
                        <m:sty m:val="b"/>
                      </m:rPr>
                      <w:rPr>
                        <w:rFonts w:ascii="Cambria Math" w:hAnsi="Cambria Math" w:cs="Times New Roman"/>
                        <w:sz w:val="24"/>
                        <w:szCs w:val="24"/>
                      </w:rPr>
                      <m:t>0</m:t>
                    </m:r>
                  </m:sub>
                </m:sSub>
                <m:r>
                  <m:rPr>
                    <m:sty m:val="b"/>
                  </m:rPr>
                  <w:rPr>
                    <w:rFonts w:ascii="Cambria Math" w:hAnsi="Cambria Math" w:cs="Times New Roman"/>
                    <w:sz w:val="24"/>
                    <w:szCs w:val="24"/>
                  </w:rPr>
                  <m:t>*</m:t>
                </m:r>
                <m:d>
                  <m:dPr>
                    <m:ctrlPr>
                      <w:rPr>
                        <w:rFonts w:ascii="Cambria Math" w:hAnsi="Cambria Math" w:cs="Times New Roman"/>
                        <w:b/>
                        <w:sz w:val="24"/>
                        <w:szCs w:val="24"/>
                      </w:rPr>
                    </m:ctrlPr>
                  </m:dPr>
                  <m:e>
                    <m:r>
                      <m:rPr>
                        <m:sty m:val="b"/>
                      </m:rPr>
                      <w:rPr>
                        <w:rFonts w:ascii="Cambria Math" w:hAnsi="Cambria Math" w:cs="Times New Roman"/>
                        <w:sz w:val="24"/>
                        <w:szCs w:val="24"/>
                      </w:rPr>
                      <m:t>1-</m:t>
                    </m:r>
                    <m:sSup>
                      <m:sSupPr>
                        <m:ctrlPr>
                          <w:rPr>
                            <w:rFonts w:ascii="Cambria Math" w:hAnsi="Cambria Math" w:cs="Times New Roman"/>
                            <w:b/>
                            <w:sz w:val="24"/>
                            <w:szCs w:val="24"/>
                          </w:rPr>
                        </m:ctrlPr>
                      </m:sSupPr>
                      <m:e>
                        <m:r>
                          <m:rPr>
                            <m:sty m:val="bi"/>
                          </m:rPr>
                          <w:rPr>
                            <w:rFonts w:ascii="Cambria Math" w:hAnsi="Cambria Math" w:cs="Times New Roman"/>
                            <w:sz w:val="24"/>
                            <w:szCs w:val="24"/>
                          </w:rPr>
                          <m:t>e</m:t>
                        </m:r>
                      </m:e>
                      <m:sup>
                        <m:r>
                          <m:rPr>
                            <m:sty m:val="b"/>
                          </m:rPr>
                          <w:rPr>
                            <w:rFonts w:ascii="Cambria Math" w:hAnsi="Cambria Math" w:cs="Times New Roman"/>
                            <w:sz w:val="24"/>
                            <w:szCs w:val="24"/>
                          </w:rPr>
                          <m:t>-</m:t>
                        </m:r>
                        <m:r>
                          <m:rPr>
                            <m:sty m:val="bi"/>
                          </m:rPr>
                          <w:rPr>
                            <w:rFonts w:ascii="Cambria Math" w:hAnsi="Cambria Math" w:cs="Times New Roman"/>
                            <w:sz w:val="24"/>
                            <w:szCs w:val="24"/>
                          </w:rPr>
                          <m:t>kt</m:t>
                        </m:r>
                      </m:sup>
                    </m:sSup>
                  </m:e>
                </m:d>
              </m:oMath>
            </m:oMathPara>
          </w:p>
        </w:tc>
        <w:tc>
          <w:tcPr>
            <w:tcW w:w="561" w:type="dxa"/>
            <w:vAlign w:val="center"/>
          </w:tcPr>
          <w:p w:rsidR="00DF46F4" w:rsidRPr="00686018" w:rsidRDefault="0082739E" w:rsidP="00A31608">
            <w:pPr>
              <w:keepNext/>
              <w:tabs>
                <w:tab w:val="left" w:pos="502"/>
              </w:tabs>
              <w:jc w:val="both"/>
              <w:rPr>
                <w:rFonts w:ascii="Times New Roman" w:hAnsi="Times New Roman" w:cs="Times New Roman"/>
                <w:b/>
                <w:sz w:val="24"/>
                <w:szCs w:val="24"/>
              </w:rPr>
            </w:pPr>
            <w:r w:rsidRPr="00686018">
              <w:rPr>
                <w:rFonts w:ascii="Times New Roman" w:hAnsi="Times New Roman" w:cs="Times New Roman"/>
                <w:b/>
                <w:sz w:val="24"/>
                <w:szCs w:val="24"/>
              </w:rPr>
              <w:t>(</w:t>
            </w:r>
            <w:r w:rsidR="00DF46F4" w:rsidRPr="00686018">
              <w:rPr>
                <w:rFonts w:ascii="Times New Roman" w:hAnsi="Times New Roman" w:cs="Times New Roman"/>
                <w:b/>
                <w:sz w:val="24"/>
                <w:szCs w:val="24"/>
              </w:rPr>
              <w:fldChar w:fldCharType="begin"/>
            </w:r>
            <w:r w:rsidR="00DF46F4" w:rsidRPr="00686018">
              <w:rPr>
                <w:rFonts w:ascii="Times New Roman" w:hAnsi="Times New Roman" w:cs="Times New Roman"/>
                <w:b/>
                <w:sz w:val="24"/>
                <w:szCs w:val="24"/>
              </w:rPr>
              <w:instrText xml:space="preserve"> SEQ ( \* ARABIC </w:instrText>
            </w:r>
            <w:r w:rsidR="00DF46F4"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4</w:t>
            </w:r>
            <w:r w:rsidR="00DF46F4" w:rsidRPr="00686018">
              <w:rPr>
                <w:rFonts w:ascii="Times New Roman" w:hAnsi="Times New Roman" w:cs="Times New Roman"/>
                <w:b/>
                <w:sz w:val="24"/>
                <w:szCs w:val="24"/>
              </w:rPr>
              <w:fldChar w:fldCharType="end"/>
            </w:r>
            <w:r w:rsidR="00DF46F4" w:rsidRPr="00686018">
              <w:rPr>
                <w:rFonts w:ascii="Times New Roman" w:hAnsi="Times New Roman" w:cs="Times New Roman"/>
                <w:b/>
                <w:sz w:val="24"/>
                <w:szCs w:val="24"/>
              </w:rPr>
              <w:t>)</w:t>
            </w:r>
          </w:p>
        </w:tc>
      </w:tr>
    </w:tbl>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Donde</w:t>
      </w:r>
    </w:p>
    <w:p w:rsidR="00DF46F4" w:rsidRPr="00686018" w:rsidRDefault="00192641" w:rsidP="00A31608">
      <w:pPr>
        <w:jc w:val="both"/>
        <w:rPr>
          <w:rFonts w:ascii="Times New Roman" w:hAnsi="Times New Roman" w:cs="Times New Roman"/>
          <w:sz w:val="24"/>
        </w:rPr>
      </w:pPr>
      <w:r w:rsidRPr="00686018">
        <w:rPr>
          <w:rFonts w:ascii="Times New Roman" w:hAnsi="Times New Roman" w:cs="Times New Roman"/>
          <w:b/>
          <w:sz w:val="24"/>
        </w:rPr>
        <w:t>B</w:t>
      </w:r>
      <w:r w:rsidR="00DF46F4" w:rsidRPr="00686018">
        <w:rPr>
          <w:rFonts w:ascii="Times New Roman" w:hAnsi="Times New Roman" w:cs="Times New Roman"/>
          <w:b/>
          <w:sz w:val="24"/>
        </w:rPr>
        <w:t>(t)</w:t>
      </w:r>
      <w:r w:rsidR="00DF46F4" w:rsidRPr="00686018">
        <w:rPr>
          <w:rFonts w:ascii="Times New Roman" w:hAnsi="Times New Roman" w:cs="Times New Roman"/>
          <w:sz w:val="24"/>
        </w:rPr>
        <w:t xml:space="preserve"> = rendimiento de metano acumulado en el tiempo de digestión t (</w:t>
      </w:r>
      <w:r w:rsidR="00DD14D0">
        <w:rPr>
          <w:rFonts w:ascii="Times New Roman" w:hAnsi="Times New Roman" w:cs="Times New Roman"/>
          <w:sz w:val="24"/>
        </w:rPr>
        <w:t>mL</w:t>
      </w:r>
      <w:r w:rsidR="00DF46F4" w:rsidRPr="00686018">
        <w:rPr>
          <w:rFonts w:ascii="Times New Roman" w:hAnsi="Times New Roman" w:cs="Times New Roman"/>
          <w:sz w:val="24"/>
        </w:rPr>
        <w:t>/gSV)</w:t>
      </w:r>
    </w:p>
    <w:p w:rsidR="00DF46F4" w:rsidRPr="00686018" w:rsidRDefault="00192641" w:rsidP="00A31608">
      <w:pPr>
        <w:jc w:val="both"/>
        <w:rPr>
          <w:rFonts w:ascii="Times New Roman" w:hAnsi="Times New Roman" w:cs="Times New Roman"/>
          <w:sz w:val="24"/>
        </w:rPr>
      </w:pPr>
      <w:r w:rsidRPr="00686018">
        <w:rPr>
          <w:rFonts w:ascii="Times New Roman" w:hAnsi="Times New Roman" w:cs="Times New Roman"/>
          <w:b/>
          <w:sz w:val="24"/>
        </w:rPr>
        <w:lastRenderedPageBreak/>
        <w:t>B</w:t>
      </w:r>
      <w:r w:rsidR="00DF46F4" w:rsidRPr="00686018">
        <w:rPr>
          <w:rFonts w:ascii="Times New Roman" w:hAnsi="Times New Roman" w:cs="Times New Roman"/>
          <w:b/>
          <w:sz w:val="24"/>
          <w:vertAlign w:val="subscript"/>
        </w:rPr>
        <w:t>0</w:t>
      </w:r>
      <w:r w:rsidR="00DF46F4" w:rsidRPr="00686018">
        <w:rPr>
          <w:rFonts w:ascii="Times New Roman" w:hAnsi="Times New Roman" w:cs="Times New Roman"/>
          <w:sz w:val="24"/>
        </w:rPr>
        <w:t xml:space="preserve"> = potencial de metano del sustrato (</w:t>
      </w:r>
      <w:r w:rsidR="00DD14D0">
        <w:rPr>
          <w:rFonts w:ascii="Times New Roman" w:hAnsi="Times New Roman" w:cs="Times New Roman"/>
          <w:sz w:val="24"/>
        </w:rPr>
        <w:t>mL</w:t>
      </w:r>
      <w:r w:rsidR="00DF46F4" w:rsidRPr="00686018">
        <w:rPr>
          <w:rFonts w:ascii="Times New Roman" w:hAnsi="Times New Roman" w:cs="Times New Roman"/>
          <w:sz w:val="24"/>
        </w:rPr>
        <w:t>/gSV)</w:t>
      </w:r>
    </w:p>
    <w:p w:rsidR="00DF46F4" w:rsidRPr="00686018" w:rsidRDefault="00DF46F4" w:rsidP="00A31608">
      <w:pPr>
        <w:spacing w:before="120"/>
        <w:jc w:val="both"/>
        <w:rPr>
          <w:rFonts w:ascii="Times New Roman" w:hAnsi="Times New Roman" w:cs="Times New Roman"/>
          <w:sz w:val="24"/>
        </w:rPr>
      </w:pPr>
      <w:r w:rsidRPr="00686018">
        <w:rPr>
          <w:rFonts w:ascii="Times New Roman" w:hAnsi="Times New Roman" w:cs="Times New Roman"/>
          <w:b/>
          <w:sz w:val="24"/>
        </w:rPr>
        <w:t>K</w:t>
      </w:r>
      <w:r w:rsidRPr="00686018">
        <w:rPr>
          <w:rFonts w:ascii="Times New Roman" w:hAnsi="Times New Roman" w:cs="Times New Roman"/>
          <w:sz w:val="24"/>
        </w:rPr>
        <w:t xml:space="preserve"> = constante de la razón de degradación de primer orden (dia</w:t>
      </w:r>
      <w:r w:rsidRPr="00686018">
        <w:rPr>
          <w:rFonts w:ascii="Times New Roman" w:hAnsi="Times New Roman" w:cs="Times New Roman"/>
          <w:sz w:val="24"/>
          <w:vertAlign w:val="superscript"/>
        </w:rPr>
        <w:t>-1</w:t>
      </w:r>
      <w:r w:rsidRPr="00686018">
        <w:rPr>
          <w:rFonts w:ascii="Times New Roman" w:hAnsi="Times New Roman" w:cs="Times New Roman"/>
          <w:sz w:val="24"/>
        </w:rPr>
        <w:t>)</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47" w:name="_Toc535410459"/>
      <w:bookmarkStart w:id="148" w:name="_Toc9537808"/>
      <w:r w:rsidRPr="00686018">
        <w:rPr>
          <w:rFonts w:ascii="Times New Roman" w:hAnsi="Times New Roman" w:cs="Times New Roman"/>
          <w:i w:val="0"/>
        </w:rPr>
        <w:t>Modelo modificado de Gompertz</w:t>
      </w:r>
      <w:bookmarkEnd w:id="147"/>
      <w:bookmarkEnd w:id="148"/>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El modelo modificado de Gompertz ha sido ampliamente utilizado para evaluar el rendimiento del proceso de digestión anaerobia (</w:t>
      </w:r>
      <w:r w:rsidRPr="00686018">
        <w:rPr>
          <w:rFonts w:ascii="Times New Roman" w:hAnsi="Times New Roman" w:cs="Times New Roman"/>
          <w:b/>
          <w:sz w:val="24"/>
        </w:rPr>
        <w:t>ecuación 5</w:t>
      </w:r>
      <w:r w:rsidRPr="00686018">
        <w:rPr>
          <w:rFonts w:ascii="Times New Roman" w:hAnsi="Times New Roman" w:cs="Times New Roman"/>
          <w:sz w:val="24"/>
        </w:rPr>
        <w:t xml:space="preserve">)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{"citationItems":[{"id":"ITEM-1","itemData":{"DOI":"10.1016/j.enconman.2017.08.002","ISSN":"01968904","abstract":"A large amount of sheep dung (SD) produced on farms in China is a potential feedstock for production of clean energy in the form of biogas. Similarly, waste paper can be a notable energy source that is worth exploiting. In this study, we assessed the feasibility of co-digesting nitrogen-rich SD with the carbon-rich corrugated board (CB) or waste office paper (OP) in varying volatile solids (VS) ratios, to produce methane. Synergistic effect of co-digesting SD with CB and SD with OP on methane production was found in this study. The highest methane yields of 151.62 and 198.85 mL/g-VS were obtained during the co-digestions of SD with CB at 4:1 ratio (SDCB) and SD with OP at 2:3 ratio (SDOP), respectively. High-throughput 16 S rRNA gene sequencing demonstrated that the microbial diversity and richness in SDCB and SDOP co-digests were higher than in SD and OP mono-digests, respectively. Characteristic bacteria and archaea in the digests were strongly substrate-related and might contribute to methane production. The validated results indicated that methane production through anaerobic co-digestion of SD and waste paper can be an efficient way that could not only reduce environmental pollution but also contribute to methane production.","author":[{"dropping-particle":"","family":"Li","given":"Wanwu","non-dropping-particle":"","parse-names":false,"suffix":""},{"dropping-particle":"","family":"Siddhu","given":"Muhammad Abdul Hanan","non-dropping-particle":"","parse-names":false,"suffix":""},{"dropping-particle":"","family":"Amin","given":"Farrukh Raza","non-dropping-particle":"","parse-names":false,"suffix":""},{"dropping-particle":"","family":"He","given":"Yanfeng","non-dropping-particle":"","parse-names":false,"suffix":""},{"dropping-particle":"","family":"Zhang","given":"Ruihong","non-dropping-particle":"","parse-names":false,"suffix":""},{"dropping-particle":"","family":"Liu","given":"Guangqing","non-dropping-particle":"","parse-names":false,"suffix":""},{"dropping-particle":"","family":"Chen","given":"Chang","non-dropping-particle":"","parse-names":false,"suffix":""}],"container-title":"Energy Conversion and Management","id":"ITEM-1","issue":"July 2017","issued":{"date-parts":[["2018"]]},"page":"279-287","publisher":"Elsevier","title":"Methane production through anaerobic co-digestion of sheep dung and waste paper","type":"article-journal","volume":"156"},"uris":["http://www.mendeley.com/documents/?uuid=6b4c9aef-a4a2-40e5-97cf-9b1ff148c536"]}],"mendeley":{"formattedCitation":"(Li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(Li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2018)</w:t>
      </w:r>
      <w:r w:rsidRPr="00686018">
        <w:rPr>
          <w:rFonts w:ascii="Times New Roman" w:hAnsi="Times New Roman" w:cs="Times New Roman"/>
          <w:sz w:val="24"/>
        </w:rPr>
        <w:fldChar w:fldCharType="end"/>
      </w:r>
      <w:r w:rsidRPr="00686018">
        <w:rPr>
          <w:rFonts w:ascii="Times New Roman" w:hAnsi="Times New Roman" w:cs="Times New Roman"/>
          <w:sz w:val="24"/>
        </w:rPr>
        <w:t>. Los parámetros estimados del modelo indican la eficiencia de digestión y el tiempo que tarda en iniciar el proceso de hidrolisis. Una fase de latencia (λ) baja indica un rápido inicio del proceso de digestión y una razón de producción máxima de metano (R</w:t>
      </w:r>
      <w:r w:rsidRPr="00686018">
        <w:rPr>
          <w:rFonts w:ascii="Times New Roman" w:hAnsi="Times New Roman" w:cs="Times New Roman"/>
          <w:sz w:val="24"/>
          <w:vertAlign w:val="subscript"/>
        </w:rPr>
        <w:t>m</w:t>
      </w:r>
      <w:r w:rsidRPr="00686018">
        <w:rPr>
          <w:rFonts w:ascii="Times New Roman" w:hAnsi="Times New Roman" w:cs="Times New Roman"/>
          <w:sz w:val="24"/>
        </w:rPr>
        <w:t xml:space="preserve">) alta indica una elevada eficiencia de digestión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{"citationItems":[{"id":"ITEM-1","itemData":{"DOI":"10.1007/s10163-017-0634-0","ISSN":"16118227","abstract":"The anaerobic co-digestion of biomass waste, a promising process of reusing resources, is capable of improving methane production. However, the characteristics and composition of fermenting raw material negatively influence the efficiency of methane production. Optimization experiments were systematically performed in this study through anaerobic co-digestion with urea-ammoniated rice straw (UARS) and food waste (FW) as co-substrates. Anaerobic co-digestion of UARS and FW in biogas production under mesophilic conditions (35 °C) was investigated in a 1 L enclosed triangular flask with a total organic load of 6 g volatile solids (VS)/L. The optimal mixing ratio of UARS to FW was close to 1:3, and the methane yield increasing by 8.83% compared with the sole substrate. Furthermore, based on the optimization ratio, supplementation of cobalt (Co) and nickel (Ni) on co-digestion were significantly superior to that of a single element. Additionally, kinetic analysis indicated that trace element remarkably facilitated the reaction rate of co-digestion. Noteworthy, the addition of Co, Ni, and the combination of Co and Ni achieved very significant (p &lt; 0.01) improvement of 6.45, 8.36, and 13.65%. Meanwhile, Ni was substantially promoted the removal rate of VS, enhanced the operational stability of co-digestion and increased the methane content significantly.","author":[{"dropping-particle":"","family":"Zhang","given":"Hongqiong","non-dropping-particle":"","parse-names":false,"suffix":""},{"dropping-particle":"","family":"Luo","given":"Lina","non-dropping-particle":"","parse-names":false,"suffix":""},{"dropping-particle":"","family":"Li","given":"Wenzhe","non-dropping-particle":"","parse-names":false,"suffix":""},{"dropping-particle":"","family":"Wang","given":"Xiangyou","non-dropping-particle":"","parse-names":false,"suffix":""},{"dropping-particle":"","family":"Sun","given":"Yong","non-dropping-particle":"","parse-names":false,"suffix":""},{"dropping-particle":"","family":"Sun","given":"Yongming","non-dropping-particle":"","parse-names":false,"suffix":""},{"dropping-particle":"","family":"Gong","given":"Weijia","non-dropping-particle":"","parse-names":false,"suffix":""}],"container-title":"Journal of Material Cycles and Waste Management","id":"ITEM-1","issue":"2","issued":{"date-parts":[["2018"]]},"page":"745-753","publisher":"Springer Japan","title":"Optimization of mixing ratio of ammoniated rice straw and food waste co-digestion and impact of trace element supplementation on biogas production","type":"article-journal","volume":"20"},"uris":["http://www.mendeley.com/documents/?uuid=7eddd6d6-5ee2-471f-9b33-6aaa54229d31"]}],"mendeley":{"formattedCitation":"(Zhang et al. 2018)","plainTextFormattedCitation":"(Zhang et al. 2018)","previouslyFormattedCitation":"(Zhang et al. 2018)"},"properties":{"noteIndex":0},"schema":"https://github.com/citation-style-language/schema/raw/master/csl-citation.json"}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(Zhang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2018)</w:t>
      </w:r>
      <w:r w:rsidRPr="00686018">
        <w:rPr>
          <w:rFonts w:ascii="Times New Roman" w:hAnsi="Times New Roman" w:cs="Times New Roman"/>
          <w:sz w:val="24"/>
        </w:rPr>
        <w:fldChar w:fldCharType="end"/>
      </w:r>
      <w:r w:rsidRPr="00686018">
        <w:rPr>
          <w:rFonts w:ascii="Times New Roman" w:hAnsi="Times New Roman" w:cs="Times New Roman"/>
          <w:b/>
          <w:sz w:val="24"/>
        </w:rPr>
        <w:t xml:space="preserve">. </w:t>
      </w:r>
      <w:r w:rsidRPr="00686018">
        <w:rPr>
          <w:rFonts w:ascii="Times New Roman" w:hAnsi="Times New Roman" w:cs="Times New Roman"/>
          <w:sz w:val="24"/>
        </w:rPr>
        <w:t>Además, un alto coeficiente de correlación (R</w:t>
      </w:r>
      <w:r w:rsidRPr="00686018">
        <w:rPr>
          <w:rFonts w:ascii="Times New Roman" w:hAnsi="Times New Roman" w:cs="Times New Roman"/>
          <w:sz w:val="24"/>
          <w:vertAlign w:val="superscript"/>
        </w:rPr>
        <w:t>2</w:t>
      </w:r>
      <w:r w:rsidRPr="00686018">
        <w:rPr>
          <w:rFonts w:ascii="Times New Roman" w:hAnsi="Times New Roman" w:cs="Times New Roman"/>
          <w:sz w:val="24"/>
        </w:rPr>
        <w:t>) indica que</w:t>
      </w:r>
      <w:r w:rsidRPr="00686018">
        <w:rPr>
          <w:rFonts w:ascii="Times New Roman" w:hAnsi="Times New Roman" w:cs="Times New Roman"/>
          <w:b/>
          <w:sz w:val="24"/>
        </w:rPr>
        <w:t xml:space="preserve"> </w:t>
      </w:r>
      <w:r w:rsidRPr="00686018">
        <w:rPr>
          <w:rFonts w:ascii="Times New Roman" w:hAnsi="Times New Roman" w:cs="Times New Roman"/>
          <w:sz w:val="24"/>
        </w:rPr>
        <w:t xml:space="preserve">la producción de metano podría simularse muy bien por el modelo. </w:t>
      </w:r>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{"citationItems":[{"id":"ITEM-1","itemData":{"DOI":"10.1016/j.enconman.2017.08.002","ISSN":"01968904","abstract":"A large amount of sheep dung (SD) produced on farms in China is a potential feedstock for production of clean energy in the form of biogas. Similarly, waste paper can be a notable energy source that is worth exploiting. In this study, we assessed the feasibility of co-digesting nitrogen-rich SD with the carbon-rich corrugated board (CB) or waste office paper (OP) in varying volatile solids (VS) ratios, to produce methane. Synergistic effect of co-digesting SD with CB and SD with OP on methane production was found in this study. The highest methane yields of 151.62 and 198.85 mL/g-VS were obtained during the co-digestions of SD with CB at 4:1 ratio (SDCB) and SD with OP at 2:3 ratio (SDOP), respectively. High-throughput 16 S rRNA gene sequencing demonstrated that the microbial diversity and richness in SDCB and SDOP co-digests were higher than in SD and OP mono-digests, respectively. Characteristic bacteria and archaea in the digests were strongly substrate-related and might contribute to methane production. The validated results indicated that methane production through anaerobic co-digestion of SD and waste paper can be an efficient way that could not only reduce environmental pollution but also contribute to methane production.","author":[{"dropping-particle":"","family":"Li","given":"Wanwu","non-dropping-particle":"","parse-names":false,"suffix":""},{"dropping-particle":"","family":"Siddhu","given":"Muhammad Abdul Hanan","non-dropping-particle":"","parse-names":false,"suffix":""},{"dropping-particle":"","family":"Amin","given":"Farrukh Raza","non-dropping-particle":"","parse-names":false,"suffix":""},{"dropping-particle":"","family":"He","given":"Yanfeng","non-dropping-particle":"","parse-names":false,"suffix":""},{"dropping-particle":"","family":"Zhang","given":"Ruihong","non-dropping-particle":"","parse-names":false,"suffix":""},{"dropping-particle":"","family":"Liu","given":"Guangqing","non-dropping-particle":"","parse-names":false,"suffix":""},{"dropping-particle":"","family":"Chen","given":"Chang","non-dropping-particle":"","parse-names":false,"suffix":""}],"container-title":"Energy Conversion and Management","id":"ITEM-1","issue":"July 2017","issued":{"date-parts":[["2018"]]},"page":"279-287","publisher":"Elsevier","title":"Methane production through anaerobic co-digestion of sheep dung and waste paper","type":"article-journal","volume":"156"},"uris":["http://www.mendeley.com/documents/?uuid=6b4c9aef-a4a2-40e5-97cf-9b1ff148c536"]}],"mendeley":{"formattedCitation":"(Li et al. 2018)","plainTextFormattedCitation":"(Li et al. 2018)","previouslyFormattedCitation":"(Li et al. 2018)"},"properties":{"noteIndex":0},"schema":"https://github.com/citation-style-language/schema/raw/master/csl-citation.json"}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(Li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2018)</w:t>
      </w:r>
      <w:r w:rsidRPr="00686018">
        <w:rPr>
          <w:rFonts w:ascii="Times New Roman" w:hAnsi="Times New Roman" w:cs="Times New Roman"/>
          <w:sz w:val="24"/>
        </w:rPr>
        <w:fldChar w:fldCharType="end"/>
      </w:r>
      <w:r w:rsidRPr="00686018">
        <w:rPr>
          <w:rFonts w:ascii="Times New Roman" w:hAnsi="Times New Roman" w:cs="Times New Roman"/>
          <w:color w:val="FF0000"/>
          <w:sz w:val="24"/>
        </w:rPr>
        <w:t xml:space="preserve"> </w:t>
      </w:r>
      <w:r w:rsidRPr="00686018">
        <w:rPr>
          <w:rFonts w:ascii="Times New Roman" w:hAnsi="Times New Roman" w:cs="Times New Roman"/>
          <w:color w:val="000000" w:themeColor="text1"/>
          <w:sz w:val="24"/>
        </w:rPr>
        <w:t xml:space="preserve">encontró que la razón de producción de metano máximo </w:t>
      </w:r>
      <w:r w:rsidRPr="00686018">
        <w:rPr>
          <w:rFonts w:ascii="Times New Roman" w:hAnsi="Times New Roman" w:cs="Times New Roman"/>
          <w:sz w:val="24"/>
        </w:rPr>
        <w:t>(R</w:t>
      </w:r>
      <w:r w:rsidRPr="00686018">
        <w:rPr>
          <w:rFonts w:ascii="Times New Roman" w:hAnsi="Times New Roman" w:cs="Times New Roman"/>
          <w:sz w:val="24"/>
          <w:vertAlign w:val="subscript"/>
        </w:rPr>
        <w:t>m</w:t>
      </w:r>
      <w:r w:rsidRPr="00686018">
        <w:rPr>
          <w:rFonts w:ascii="Times New Roman" w:hAnsi="Times New Roman" w:cs="Times New Roman"/>
          <w:sz w:val="24"/>
        </w:rPr>
        <w:t>) se incrementa en la codigestión de celulosa y hemicelulosa en comparación con la mono digestión, indicando una mejora en la eficiencia de la digestión. Estos parámetros indican que la combinación de sustratos acorta o prolongan la producción de metano.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2"/>
        <w:gridCol w:w="805"/>
      </w:tblGrid>
      <w:tr w:rsidR="00DF46F4" w:rsidRPr="00686018" w:rsidTr="00DF46F4">
        <w:trPr>
          <w:trHeight w:val="583"/>
        </w:trPr>
        <w:tc>
          <w:tcPr>
            <w:tcW w:w="7650" w:type="dxa"/>
            <w:vAlign w:val="center"/>
          </w:tcPr>
          <w:p w:rsidR="00DF46F4" w:rsidRPr="00686018" w:rsidRDefault="00686018" w:rsidP="00A31608">
            <w:pPr>
              <w:jc w:val="both"/>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B</m:t>
                </m:r>
                <m:r>
                  <m:rPr>
                    <m:sty m:val="b"/>
                  </m:rPr>
                  <w:rPr>
                    <w:rFonts w:ascii="Cambria Math" w:hAnsi="Cambria Math" w:cs="Times New Roman"/>
                    <w:sz w:val="24"/>
                    <w:szCs w:val="24"/>
                  </w:rPr>
                  <m:t>=</m:t>
                </m:r>
                <m:sSub>
                  <m:sSubPr>
                    <m:ctrlPr>
                      <w:rPr>
                        <w:rFonts w:ascii="Cambria Math" w:hAnsi="Cambria Math" w:cs="Times New Roman"/>
                        <w:b/>
                        <w:sz w:val="24"/>
                        <w:szCs w:val="24"/>
                      </w:rPr>
                    </m:ctrlPr>
                  </m:sSubPr>
                  <m:e>
                    <m:r>
                      <m:rPr>
                        <m:sty m:val="bi"/>
                      </m:rPr>
                      <w:rPr>
                        <w:rFonts w:ascii="Cambria Math" w:hAnsi="Cambria Math" w:cs="Times New Roman"/>
                        <w:sz w:val="24"/>
                        <w:szCs w:val="24"/>
                      </w:rPr>
                      <m:t>B</m:t>
                    </m:r>
                  </m:e>
                  <m:sub>
                    <m:r>
                      <m:rPr>
                        <m:sty m:val="b"/>
                      </m:rPr>
                      <w:rPr>
                        <w:rFonts w:ascii="Cambria Math" w:hAnsi="Cambria Math" w:cs="Times New Roman"/>
                        <w:sz w:val="24"/>
                        <w:szCs w:val="24"/>
                      </w:rPr>
                      <m:t>0</m:t>
                    </m:r>
                  </m:sub>
                </m:sSub>
                <m:r>
                  <m:rPr>
                    <m:sty m:val="b"/>
                  </m:rPr>
                  <w:rPr>
                    <w:rFonts w:ascii="Cambria Math" w:hAnsi="Cambria Math" w:cs="Times New Roman"/>
                    <w:sz w:val="24"/>
                    <w:szCs w:val="24"/>
                  </w:rPr>
                  <m:t xml:space="preserve"> </m:t>
                </m:r>
                <m:r>
                  <m:rPr>
                    <m:sty m:val="bi"/>
                  </m:rPr>
                  <w:rPr>
                    <w:rFonts w:ascii="Cambria Math" w:hAnsi="Cambria Math" w:cs="Times New Roman"/>
                    <w:sz w:val="24"/>
                    <w:szCs w:val="24"/>
                  </w:rPr>
                  <m:t>exp</m:t>
                </m:r>
                <m:d>
                  <m:dPr>
                    <m:begChr m:val="{"/>
                    <m:endChr m:val="}"/>
                    <m:ctrlPr>
                      <w:rPr>
                        <w:rFonts w:ascii="Cambria Math" w:hAnsi="Cambria Math" w:cs="Times New Roman"/>
                        <w:b/>
                        <w:sz w:val="24"/>
                        <w:szCs w:val="24"/>
                      </w:rPr>
                    </m:ctrlPr>
                  </m:dPr>
                  <m:e>
                    <m:r>
                      <m:rPr>
                        <m:sty m:val="b"/>
                      </m:rPr>
                      <w:rPr>
                        <w:rFonts w:ascii="Cambria Math" w:hAnsi="Cambria Math" w:cs="Times New Roman"/>
                        <w:sz w:val="24"/>
                        <w:szCs w:val="24"/>
                      </w:rPr>
                      <m:t>-</m:t>
                    </m:r>
                    <m:r>
                      <m:rPr>
                        <m:sty m:val="bi"/>
                      </m:rPr>
                      <w:rPr>
                        <w:rFonts w:ascii="Cambria Math" w:hAnsi="Cambria Math" w:cs="Times New Roman"/>
                        <w:sz w:val="24"/>
                        <w:szCs w:val="24"/>
                      </w:rPr>
                      <m:t>exp</m:t>
                    </m:r>
                    <m:d>
                      <m:dPr>
                        <m:begChr m:val="["/>
                        <m:endChr m:val="]"/>
                        <m:ctrlPr>
                          <w:rPr>
                            <w:rFonts w:ascii="Cambria Math" w:hAnsi="Cambria Math" w:cs="Times New Roman"/>
                            <w:b/>
                            <w:sz w:val="24"/>
                            <w:szCs w:val="24"/>
                          </w:rPr>
                        </m:ctrlPr>
                      </m:dPr>
                      <m:e>
                        <m:f>
                          <m:fPr>
                            <m:ctrlPr>
                              <w:rPr>
                                <w:rFonts w:ascii="Cambria Math" w:hAnsi="Cambria Math" w:cs="Times New Roman"/>
                                <w:b/>
                                <w:sz w:val="24"/>
                                <w:szCs w:val="24"/>
                              </w:rPr>
                            </m:ctrlPr>
                          </m:fPr>
                          <m:num>
                            <m:sSub>
                              <m:sSubPr>
                                <m:ctrlPr>
                                  <w:rPr>
                                    <w:rFonts w:ascii="Cambria Math" w:hAnsi="Cambria Math" w:cs="Times New Roman"/>
                                    <w:b/>
                                    <w:sz w:val="24"/>
                                    <w:szCs w:val="24"/>
                                  </w:rPr>
                                </m:ctrlPr>
                              </m:sSubPr>
                              <m:e>
                                <m:r>
                                  <m:rPr>
                                    <m:sty m:val="bi"/>
                                  </m:rPr>
                                  <w:rPr>
                                    <w:rFonts w:ascii="Cambria Math" w:hAnsi="Cambria Math" w:cs="Times New Roman"/>
                                    <w:sz w:val="24"/>
                                    <w:szCs w:val="24"/>
                                  </w:rPr>
                                  <m:t>R</m:t>
                                </m:r>
                              </m:e>
                              <m:sub>
                                <m:r>
                                  <m:rPr>
                                    <m:sty m:val="bi"/>
                                  </m:rPr>
                                  <w:rPr>
                                    <w:rFonts w:ascii="Cambria Math" w:hAnsi="Cambria Math" w:cs="Times New Roman"/>
                                    <w:sz w:val="24"/>
                                    <w:szCs w:val="24"/>
                                  </w:rPr>
                                  <m:t>m</m:t>
                                </m:r>
                              </m:sub>
                            </m:sSub>
                            <m:r>
                              <m:rPr>
                                <m:sty m:val="b"/>
                              </m:rPr>
                              <w:rPr>
                                <w:rFonts w:ascii="Cambria Math" w:hAnsi="Cambria Math" w:cs="Times New Roman"/>
                                <w:sz w:val="24"/>
                                <w:szCs w:val="24"/>
                              </w:rPr>
                              <m:t>*</m:t>
                            </m:r>
                            <m:r>
                              <m:rPr>
                                <m:sty m:val="bi"/>
                              </m:rPr>
                              <w:rPr>
                                <w:rFonts w:ascii="Cambria Math" w:hAnsi="Cambria Math" w:cs="Times New Roman"/>
                                <w:sz w:val="24"/>
                                <w:szCs w:val="24"/>
                              </w:rPr>
                              <m:t>e</m:t>
                            </m:r>
                          </m:num>
                          <m:den>
                            <m:sSub>
                              <m:sSubPr>
                                <m:ctrlPr>
                                  <w:rPr>
                                    <w:rFonts w:ascii="Cambria Math" w:hAnsi="Cambria Math" w:cs="Times New Roman"/>
                                    <w:b/>
                                    <w:sz w:val="24"/>
                                    <w:szCs w:val="24"/>
                                  </w:rPr>
                                </m:ctrlPr>
                              </m:sSubPr>
                              <m:e>
                                <m:r>
                                  <m:rPr>
                                    <m:sty m:val="bi"/>
                                  </m:rPr>
                                  <w:rPr>
                                    <w:rFonts w:ascii="Cambria Math" w:hAnsi="Cambria Math" w:cs="Times New Roman"/>
                                    <w:sz w:val="24"/>
                                    <w:szCs w:val="24"/>
                                  </w:rPr>
                                  <m:t>B</m:t>
                                </m:r>
                              </m:e>
                              <m:sub>
                                <m:r>
                                  <m:rPr>
                                    <m:sty m:val="b"/>
                                  </m:rPr>
                                  <w:rPr>
                                    <w:rFonts w:ascii="Cambria Math" w:hAnsi="Cambria Math" w:cs="Times New Roman"/>
                                    <w:sz w:val="24"/>
                                    <w:szCs w:val="24"/>
                                  </w:rPr>
                                  <m:t>0</m:t>
                                </m:r>
                              </m:sub>
                            </m:sSub>
                          </m:den>
                        </m:f>
                        <m:d>
                          <m:dPr>
                            <m:ctrlPr>
                              <w:rPr>
                                <w:rFonts w:ascii="Cambria Math" w:hAnsi="Cambria Math" w:cs="Times New Roman"/>
                                <w:b/>
                                <w:sz w:val="24"/>
                                <w:szCs w:val="24"/>
                              </w:rPr>
                            </m:ctrlPr>
                          </m:dPr>
                          <m:e>
                            <m:r>
                              <m:rPr>
                                <m:sty m:val="bi"/>
                              </m:rPr>
                              <w:rPr>
                                <w:rFonts w:ascii="Cambria Math" w:hAnsi="Cambria Math" w:cs="Times New Roman"/>
                                <w:sz w:val="24"/>
                                <w:szCs w:val="24"/>
                              </w:rPr>
                              <m:t>λ</m:t>
                            </m:r>
                            <m:r>
                              <m:rPr>
                                <m:sty m:val="b"/>
                              </m:rPr>
                              <w:rPr>
                                <w:rFonts w:ascii="Cambria Math" w:hAnsi="Cambria Math" w:cs="Times New Roman"/>
                                <w:sz w:val="24"/>
                                <w:szCs w:val="24"/>
                              </w:rPr>
                              <m:t>-1</m:t>
                            </m:r>
                          </m:e>
                        </m:d>
                        <m:r>
                          <m:rPr>
                            <m:sty m:val="b"/>
                          </m:rPr>
                          <w:rPr>
                            <w:rFonts w:ascii="Cambria Math" w:hAnsi="Cambria Math" w:cs="Times New Roman"/>
                            <w:sz w:val="24"/>
                            <w:szCs w:val="24"/>
                          </w:rPr>
                          <m:t>+1</m:t>
                        </m:r>
                      </m:e>
                    </m:d>
                  </m:e>
                </m:d>
              </m:oMath>
            </m:oMathPara>
          </w:p>
        </w:tc>
        <w:tc>
          <w:tcPr>
            <w:tcW w:w="844" w:type="dxa"/>
            <w:vAlign w:val="center"/>
          </w:tcPr>
          <w:p w:rsidR="00DF46F4" w:rsidRPr="00686018" w:rsidRDefault="00DF46F4" w:rsidP="00A31608">
            <w:pPr>
              <w:pStyle w:val="Descripcin"/>
              <w:spacing w:after="100"/>
              <w:ind w:firstLine="142"/>
              <w:jc w:val="both"/>
              <w:rPr>
                <w:rFonts w:ascii="Times New Roman" w:hAnsi="Times New Roman" w:cs="Times New Roman"/>
                <w:b/>
                <w:i w:val="0"/>
                <w:color w:val="auto"/>
                <w:sz w:val="24"/>
                <w:szCs w:val="24"/>
              </w:rPr>
            </w:pPr>
            <w:r w:rsidRPr="00686018">
              <w:rPr>
                <w:rFonts w:ascii="Times New Roman" w:hAnsi="Times New Roman" w:cs="Times New Roman"/>
                <w:b/>
                <w:i w:val="0"/>
                <w:color w:val="auto"/>
                <w:sz w:val="24"/>
                <w:szCs w:val="24"/>
              </w:rPr>
              <w:t xml:space="preserve"> (</w:t>
            </w:r>
            <w:r w:rsidRPr="00686018">
              <w:rPr>
                <w:rFonts w:ascii="Times New Roman" w:hAnsi="Times New Roman" w:cs="Times New Roman"/>
                <w:b/>
                <w:i w:val="0"/>
                <w:color w:val="auto"/>
                <w:sz w:val="24"/>
                <w:szCs w:val="24"/>
              </w:rPr>
              <w:fldChar w:fldCharType="begin"/>
            </w:r>
            <w:r w:rsidRPr="00686018">
              <w:rPr>
                <w:rFonts w:ascii="Times New Roman" w:hAnsi="Times New Roman" w:cs="Times New Roman"/>
                <w:b/>
                <w:i w:val="0"/>
                <w:color w:val="auto"/>
                <w:sz w:val="24"/>
                <w:szCs w:val="24"/>
              </w:rPr>
              <w:instrText xml:space="preserve"> SEQ ( \* ARABIC </w:instrText>
            </w:r>
            <w:r w:rsidRPr="00686018">
              <w:rPr>
                <w:rFonts w:ascii="Times New Roman" w:hAnsi="Times New Roman" w:cs="Times New Roman"/>
                <w:b/>
                <w:i w:val="0"/>
                <w:color w:val="auto"/>
                <w:sz w:val="24"/>
                <w:szCs w:val="24"/>
              </w:rPr>
              <w:fldChar w:fldCharType="separate"/>
            </w:r>
            <w:r w:rsidR="00DD0237" w:rsidRPr="00686018">
              <w:rPr>
                <w:rFonts w:ascii="Times New Roman" w:hAnsi="Times New Roman" w:cs="Times New Roman"/>
                <w:b/>
                <w:i w:val="0"/>
                <w:noProof/>
                <w:color w:val="auto"/>
                <w:sz w:val="24"/>
                <w:szCs w:val="24"/>
              </w:rPr>
              <w:t>5</w:t>
            </w:r>
            <w:r w:rsidRPr="00686018">
              <w:rPr>
                <w:rFonts w:ascii="Times New Roman" w:hAnsi="Times New Roman" w:cs="Times New Roman"/>
                <w:b/>
                <w:i w:val="0"/>
                <w:color w:val="auto"/>
                <w:sz w:val="24"/>
                <w:szCs w:val="24"/>
              </w:rPr>
              <w:fldChar w:fldCharType="end"/>
            </w:r>
            <w:r w:rsidRPr="00686018">
              <w:rPr>
                <w:rFonts w:ascii="Times New Roman" w:hAnsi="Times New Roman" w:cs="Times New Roman"/>
                <w:b/>
                <w:i w:val="0"/>
                <w:color w:val="auto"/>
                <w:sz w:val="24"/>
                <w:szCs w:val="24"/>
              </w:rPr>
              <w:t>)</w:t>
            </w:r>
          </w:p>
        </w:tc>
      </w:tr>
    </w:tbl>
    <w:p w:rsidR="00DF46F4" w:rsidRPr="00686018" w:rsidRDefault="00DF46F4" w:rsidP="00A31608">
      <w:pPr>
        <w:jc w:val="both"/>
        <w:rPr>
          <w:rFonts w:ascii="Times New Roman" w:eastAsiaTheme="minorEastAsia" w:hAnsi="Times New Roman" w:cs="Times New Roman"/>
          <w:noProof/>
          <w:sz w:val="24"/>
          <w:szCs w:val="24"/>
          <w:lang w:eastAsia="es-EC"/>
        </w:rPr>
      </w:pPr>
      <w:r w:rsidRPr="00686018">
        <w:rPr>
          <w:rFonts w:ascii="Times New Roman" w:eastAsiaTheme="minorEastAsia" w:hAnsi="Times New Roman" w:cs="Times New Roman"/>
          <w:noProof/>
          <w:sz w:val="24"/>
          <w:szCs w:val="24"/>
          <w:lang w:eastAsia="es-EC"/>
        </w:rPr>
        <w:t>Donde:</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B: </w:t>
      </w:r>
      <w:r w:rsidRPr="00686018">
        <w:rPr>
          <w:rFonts w:ascii="Times New Roman" w:hAnsi="Times New Roman" w:cs="Times New Roman"/>
          <w:noProof/>
          <w:sz w:val="24"/>
          <w:szCs w:val="24"/>
          <w:lang w:eastAsia="es-EC"/>
        </w:rPr>
        <w:t>rendimiento de metano acumulado en el tiempo t (</w:t>
      </w:r>
      <w:r w:rsidR="00DD14D0">
        <w:rPr>
          <w:rFonts w:ascii="Times New Roman" w:hAnsi="Times New Roman" w:cs="Times New Roman"/>
          <w:noProof/>
          <w:sz w:val="24"/>
          <w:szCs w:val="24"/>
          <w:lang w:eastAsia="es-EC"/>
        </w:rPr>
        <w:t>mL</w:t>
      </w:r>
      <w:r w:rsidRPr="00686018">
        <w:rPr>
          <w:rFonts w:ascii="Times New Roman" w:hAnsi="Times New Roman" w:cs="Times New Roman"/>
          <w:noProof/>
          <w:sz w:val="24"/>
          <w:szCs w:val="24"/>
          <w:lang w:eastAsia="es-EC"/>
        </w:rPr>
        <w:t>/g VS)</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B</w:t>
      </w:r>
      <w:r w:rsidRPr="00686018">
        <w:rPr>
          <w:rFonts w:ascii="Times New Roman" w:hAnsi="Times New Roman" w:cs="Times New Roman"/>
          <w:b/>
          <w:noProof/>
          <w:sz w:val="24"/>
          <w:szCs w:val="24"/>
          <w:vertAlign w:val="subscript"/>
          <w:lang w:eastAsia="es-EC"/>
        </w:rPr>
        <w:t>0</w:t>
      </w:r>
      <w:r w:rsidRPr="00686018">
        <w:rPr>
          <w:rFonts w:ascii="Times New Roman" w:hAnsi="Times New Roman" w:cs="Times New Roman"/>
          <w:b/>
          <w:noProof/>
          <w:sz w:val="24"/>
          <w:szCs w:val="24"/>
          <w:lang w:eastAsia="es-EC"/>
        </w:rPr>
        <w:t xml:space="preserve">: </w:t>
      </w:r>
      <w:r w:rsidRPr="00686018">
        <w:rPr>
          <w:rFonts w:ascii="Times New Roman" w:hAnsi="Times New Roman" w:cs="Times New Roman"/>
          <w:noProof/>
          <w:sz w:val="24"/>
          <w:szCs w:val="24"/>
          <w:lang w:eastAsia="es-EC"/>
        </w:rPr>
        <w:t>rendimiento maximo de metano a partir del sustrato (</w:t>
      </w:r>
      <w:r w:rsidR="00DD14D0">
        <w:rPr>
          <w:rFonts w:ascii="Times New Roman" w:hAnsi="Times New Roman" w:cs="Times New Roman"/>
          <w:noProof/>
          <w:sz w:val="24"/>
          <w:szCs w:val="24"/>
          <w:lang w:eastAsia="es-EC"/>
        </w:rPr>
        <w:t>mL</w:t>
      </w:r>
      <w:r w:rsidRPr="00686018">
        <w:rPr>
          <w:rFonts w:ascii="Times New Roman" w:hAnsi="Times New Roman" w:cs="Times New Roman"/>
          <w:noProof/>
          <w:sz w:val="24"/>
          <w:szCs w:val="24"/>
          <w:lang w:eastAsia="es-EC"/>
        </w:rPr>
        <w:t>/g VS)</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t: </w:t>
      </w:r>
      <w:r w:rsidRPr="00686018">
        <w:rPr>
          <w:rFonts w:ascii="Times New Roman" w:hAnsi="Times New Roman" w:cs="Times New Roman"/>
          <w:noProof/>
          <w:sz w:val="24"/>
          <w:szCs w:val="24"/>
          <w:lang w:eastAsia="es-EC"/>
        </w:rPr>
        <w:t>Tiempo de digestion (d)</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λ: </w:t>
      </w:r>
      <w:r w:rsidRPr="00686018">
        <w:rPr>
          <w:rFonts w:ascii="Times New Roman" w:hAnsi="Times New Roman" w:cs="Times New Roman"/>
          <w:noProof/>
          <w:sz w:val="24"/>
          <w:szCs w:val="24"/>
          <w:lang w:eastAsia="es-EC"/>
        </w:rPr>
        <w:t>Tiempo de la fase de latencia (d)</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R</w:t>
      </w:r>
      <w:r w:rsidRPr="00686018">
        <w:rPr>
          <w:rFonts w:ascii="Times New Roman" w:hAnsi="Times New Roman" w:cs="Times New Roman"/>
          <w:b/>
          <w:noProof/>
          <w:sz w:val="24"/>
          <w:szCs w:val="24"/>
          <w:vertAlign w:val="subscript"/>
          <w:lang w:eastAsia="es-EC"/>
        </w:rPr>
        <w:t>m</w:t>
      </w:r>
      <w:r w:rsidRPr="00686018">
        <w:rPr>
          <w:rFonts w:ascii="Times New Roman" w:hAnsi="Times New Roman" w:cs="Times New Roman"/>
          <w:b/>
          <w:noProof/>
          <w:sz w:val="24"/>
          <w:szCs w:val="24"/>
          <w:lang w:eastAsia="es-EC"/>
        </w:rPr>
        <w:t xml:space="preserve">: </w:t>
      </w:r>
      <w:r w:rsidRPr="00686018">
        <w:rPr>
          <w:rFonts w:ascii="Times New Roman" w:hAnsi="Times New Roman" w:cs="Times New Roman"/>
          <w:noProof/>
          <w:sz w:val="24"/>
          <w:szCs w:val="24"/>
          <w:lang w:eastAsia="es-EC"/>
        </w:rPr>
        <w:t>razon maxima de produccion de metano</w:t>
      </w:r>
      <w:r w:rsidRPr="00686018">
        <w:rPr>
          <w:rFonts w:ascii="Times New Roman" w:hAnsi="Times New Roman" w:cs="Times New Roman"/>
          <w:b/>
          <w:noProof/>
          <w:sz w:val="24"/>
          <w:szCs w:val="24"/>
          <w:lang w:eastAsia="es-EC"/>
        </w:rPr>
        <w:t xml:space="preserve"> </w:t>
      </w:r>
      <w:r w:rsidRPr="00686018">
        <w:rPr>
          <w:rFonts w:ascii="Times New Roman" w:hAnsi="Times New Roman" w:cs="Times New Roman"/>
          <w:noProof/>
          <w:sz w:val="24"/>
          <w:szCs w:val="24"/>
          <w:lang w:eastAsia="es-EC"/>
        </w:rPr>
        <w:t>(</w:t>
      </w:r>
      <w:r w:rsidR="00DD14D0">
        <w:rPr>
          <w:rFonts w:ascii="Times New Roman" w:hAnsi="Times New Roman" w:cs="Times New Roman"/>
          <w:noProof/>
          <w:sz w:val="24"/>
          <w:szCs w:val="24"/>
          <w:lang w:eastAsia="es-EC"/>
        </w:rPr>
        <w:t>mL</w:t>
      </w:r>
      <w:r w:rsidRPr="00686018">
        <w:rPr>
          <w:rFonts w:ascii="Times New Roman" w:hAnsi="Times New Roman" w:cs="Times New Roman"/>
          <w:noProof/>
          <w:sz w:val="24"/>
          <w:szCs w:val="24"/>
          <w:lang w:eastAsia="es-EC"/>
        </w:rPr>
        <w:t>/g VS)</w:t>
      </w:r>
    </w:p>
    <w:p w:rsidR="00DF46F4" w:rsidRPr="00686018" w:rsidRDefault="00DF46F4" w:rsidP="00A31608">
      <w:pPr>
        <w:jc w:val="both"/>
        <w:rPr>
          <w:rFonts w:ascii="Times New Roman" w:hAnsi="Times New Roman" w:cs="Times New Roman"/>
          <w:noProof/>
          <w:sz w:val="24"/>
          <w:szCs w:val="24"/>
          <w:lang w:eastAsia="es-EC"/>
        </w:rPr>
      </w:pPr>
      <w:r w:rsidRPr="00686018">
        <w:rPr>
          <w:rFonts w:ascii="Times New Roman" w:hAnsi="Times New Roman" w:cs="Times New Roman"/>
          <w:b/>
          <w:noProof/>
          <w:sz w:val="24"/>
          <w:szCs w:val="24"/>
          <w:lang w:eastAsia="es-EC"/>
        </w:rPr>
        <w:t xml:space="preserve">e = exp : </w:t>
      </w:r>
      <w:r w:rsidRPr="00686018">
        <w:rPr>
          <w:rFonts w:ascii="Times New Roman" w:hAnsi="Times New Roman" w:cs="Times New Roman"/>
          <w:noProof/>
          <w:sz w:val="24"/>
          <w:szCs w:val="24"/>
          <w:lang w:eastAsia="es-EC"/>
        </w:rPr>
        <w:t>2.71828</w:t>
      </w:r>
    </w:p>
    <w:p w:rsidR="00DF46F4" w:rsidRPr="00686018" w:rsidRDefault="00DF46F4" w:rsidP="00A31608">
      <w:pPr>
        <w:pStyle w:val="Ttulo5"/>
        <w:numPr>
          <w:ilvl w:val="3"/>
          <w:numId w:val="4"/>
        </w:numPr>
        <w:ind w:left="646" w:hanging="646"/>
        <w:jc w:val="both"/>
        <w:rPr>
          <w:rFonts w:ascii="Times New Roman" w:hAnsi="Times New Roman" w:cs="Times New Roman"/>
          <w:i w:val="0"/>
          <w:noProof/>
          <w:lang w:eastAsia="es-EC"/>
        </w:rPr>
      </w:pPr>
      <w:bookmarkStart w:id="149" w:name="_Toc9537809"/>
      <w:r w:rsidRPr="00686018">
        <w:rPr>
          <w:rFonts w:ascii="Times New Roman" w:hAnsi="Times New Roman" w:cs="Times New Roman"/>
          <w:i w:val="0"/>
          <w:noProof/>
          <w:lang w:eastAsia="es-EC"/>
        </w:rPr>
        <w:t>Modelo de la funcion de trasferencia</w:t>
      </w:r>
      <w:bookmarkEnd w:id="149"/>
    </w:p>
    <w:p w:rsidR="00DF46F4" w:rsidRPr="00891002" w:rsidRDefault="00DF46F4" w:rsidP="00A31608">
      <w:pPr>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El modelo de la función de transferencia permite predecir la producción de metano máxima, basada solamente en la producción de metano acumulado en un tiempo específico </w:t>
      </w:r>
      <w:r w:rsidR="00891358" w:rsidRPr="00686018">
        <w:rPr>
          <w:rFonts w:ascii="Times New Roman" w:hAnsi="Times New Roman" w:cs="Times New Roman"/>
          <w:sz w:val="24"/>
          <w:lang w:eastAsia="es-EC"/>
        </w:rPr>
        <w:fldChar w:fldCharType="begin" w:fldLock="1"/>
      </w:r>
      <w:r w:rsidR="00891358" w:rsidRPr="00686018">
        <w:rPr>
          <w:rFonts w:ascii="Times New Roman" w:hAnsi="Times New Roman" w:cs="Times New Roman"/>
          <w:sz w:val="24"/>
          <w:lang w:eastAsia="es-EC"/>
        </w:rPr>
        <w:instrText>ADDIN CSL_CITATION {"citationItems":[{"id":"ITEM-1","itemData":{"DOI":"10.1007/s12010-011-9503-9","ISSN":"02732289","abstract":"Pretreatment methods play an important role in the improvement of biogas production from the anaerobic digestion of energy grass. In this study, conventional thermal and microwave methods were performed on raw material, namely, Pennisetum hybrid, to analyze the effect of pretreatment on anaerobic digestion by the calculation of performance parameters using Logistic function, modified Gompertz equation, and transference function. Results indicated that thermal pretreatment improved the biogas production of Pennisetum hybrid, whereas microwave method had an adverse effect on the performance. All the models fit the experimental data with R-2&gt;0.980, and the Reaction Curve presented the best agreement in the fitting process. Conventional thermal pretreatment showed an increasing effect on maximum production rate and total methane produced, with an improvement of around 7% and 8%, respectively. With regard to microwave pretreatment, maximum production rate and total methane produced decreased by 18% and 12%, respectively.","author":[{"dropping-particle":"","family":"Li","given":"Lianhua","non-dropping-particle":"","parse-names":false,"suffix":""},{"dropping-particle":"","family":"Kong","given":"Xiaoying","non-dropping-particle":"","parse-names":false,"suffix":""},{"dropping-particle":"","family":"Yang","given":"Fuyu","non-dropping-particle":"","parse-names":false,"suffix":""},{"dropping-particle":"","family":"Li","given":"Dong","non-dropping-particle":"","parse-names":false,"suffix":""},{"dropping-particle":"","family":"Yuan","given":"Zhenhong","non-dropping-particle":"","parse-names":false,"suffix":""},{"dropping-particle":"","family":"Sun","given":"Yongming","non-dropping-particle":"","parse-names":false,"suffix":""}],"container-title":"Applied Biochemistry and Biotechnology","id":"ITEM-1","issue":"5","issued":{"date-parts":[["2012"]]},"page":"1183-1191","title":"Biogas production potential and kinetics of microwave and conventional thermal pretreatment of grass","type":"article-journal","volume":"166"},"uris":["http://www.mendeley.com/documents/?uuid=f81f4c9d-682c-47f5-8bec-ae5adbba63f7"]}],"mendeley":{"formattedCitation":"(Li et al. 2012)","plainTextFormattedCitation":"(Li et al. 2012)","previouslyFormattedCitation":"(Li et al. 2012)"},"properties":{"noteIndex":0},"schema":"https://github.com/citation-style-language/schema/raw/master/csl-citation.json"}</w:instrText>
      </w:r>
      <w:r w:rsidR="00891358" w:rsidRPr="00686018">
        <w:rPr>
          <w:rFonts w:ascii="Times New Roman" w:hAnsi="Times New Roman" w:cs="Times New Roman"/>
          <w:sz w:val="24"/>
          <w:lang w:eastAsia="es-EC"/>
        </w:rPr>
        <w:fldChar w:fldCharType="separate"/>
      </w:r>
      <w:r w:rsidR="00891358" w:rsidRPr="00686018">
        <w:rPr>
          <w:rFonts w:ascii="Times New Roman" w:hAnsi="Times New Roman" w:cs="Times New Roman"/>
          <w:noProof/>
          <w:sz w:val="24"/>
          <w:lang w:eastAsia="es-EC"/>
        </w:rPr>
        <w:t xml:space="preserve">(Li </w:t>
      </w:r>
      <w:r w:rsidR="00C80D09">
        <w:rPr>
          <w:rFonts w:ascii="Times New Roman" w:hAnsi="Times New Roman" w:cs="Times New Roman"/>
          <w:noProof/>
          <w:sz w:val="24"/>
          <w:lang w:eastAsia="es-EC"/>
        </w:rPr>
        <w:t>et al.,</w:t>
      </w:r>
      <w:r w:rsidR="00891358" w:rsidRPr="00686018">
        <w:rPr>
          <w:rFonts w:ascii="Times New Roman" w:hAnsi="Times New Roman" w:cs="Times New Roman"/>
          <w:noProof/>
          <w:sz w:val="24"/>
          <w:lang w:eastAsia="es-EC"/>
        </w:rPr>
        <w:t xml:space="preserve"> 2012)</w:t>
      </w:r>
      <w:r w:rsidR="00891358" w:rsidRPr="00686018">
        <w:rPr>
          <w:rFonts w:ascii="Times New Roman" w:hAnsi="Times New Roman" w:cs="Times New Roman"/>
          <w:sz w:val="24"/>
          <w:lang w:eastAsia="es-EC"/>
        </w:rPr>
        <w:fldChar w:fldCharType="end"/>
      </w:r>
      <w:r w:rsidRPr="00686018">
        <w:rPr>
          <w:rFonts w:ascii="Times New Roman" w:hAnsi="Times New Roman" w:cs="Times New Roman"/>
          <w:sz w:val="24"/>
          <w:lang w:eastAsia="es-EC"/>
        </w:rPr>
        <w:t>.</w:t>
      </w:r>
      <w:r w:rsidR="00DF7CE7" w:rsidRPr="00686018">
        <w:rPr>
          <w:rFonts w:ascii="Times New Roman" w:hAnsi="Times New Roman" w:cs="Times New Roman"/>
          <w:sz w:val="24"/>
          <w:lang w:eastAsia="es-EC"/>
        </w:rPr>
        <w:t xml:space="preserve"> </w:t>
      </w:r>
      <w:r w:rsidR="00DF7CE7" w:rsidRPr="00686018">
        <w:rPr>
          <w:rFonts w:ascii="Times New Roman" w:hAnsi="Times New Roman" w:cs="Times New Roman"/>
          <w:sz w:val="24"/>
          <w:lang w:eastAsia="es-EC"/>
        </w:rPr>
        <w:fldChar w:fldCharType="begin" w:fldLock="1"/>
      </w:r>
      <w:r w:rsidR="00891358" w:rsidRPr="00686018">
        <w:rPr>
          <w:rFonts w:ascii="Times New Roman" w:hAnsi="Times New Roman" w:cs="Times New Roman"/>
          <w:sz w:val="24"/>
          <w:lang w:eastAsia="es-EC"/>
        </w:rPr>
        <w:instrText>ADDIN CSL_CITATION {"citationItems":[{"id":"ITEM-1","itemData":{"DOI":"10.1016/j.wasman.2017.08.014","ISSN":"18792456","abstract":"Anaerobic digestion (AD) of different agro-industrial wastes and their co-digestion potential has been exhaustively studied in this research. It explores variation of feedstock characteristics such as biodegradability and methane potential during AD and anaerobic co-digestion (ACoD) of chicken litter (CL) with yoghurt whey (YW), organic fraction of municipal solid waste (OFMSW), hay grass (HG) and wheat straw (WS) under mesophilic conditions. Comparative performance was made at different loading concentrations (2%, 3% and 4% VS) with 1:2 g/g VS of substrate to inoculum and carrying C/N ratio. Among different kinetic models, the AD of single substrates showed better fit to the modified Gompertz model (R2: 0.93–0.997) indicating variation in lag phase and methane production rate depend on the substrate characteristics. During ACoD, the methane yield improved by 9–85% through the addition of two, three or four substrates due to the synergistic effect as a result of increased biodegradability and optimum conditions (such as C/N ratio). A surface (optimisation) model indicated that maximum methane production can be achieved by blending chicken litter (30–35%) and a (65–70%) mixture of yoghurt whey, hay and wheat straw with a C/N ratio of (26–27.5).","author":[{"dropping-particle":"","family":"Zahan","given":"Zubayeda","non-dropping-particle":"","parse-names":false,"suffix":""},{"dropping-particle":"","family":"Othman","given":"Maazuza Z.","non-dropping-particle":"","parse-names":false,"suffix":""},{"dropping-particle":"","family":"Muster","given":"Tim H.","non-dropping-particle":"","parse-names":false,"suffix":""}],"container-title":"Waste Management","id":"ITEM-1","issued":{"date-parts":[["2018"]]},"page":"663-674","publisher":"Elsevier Ltd","title":"Anaerobic digestion/co-digestion kinetic potentials of different agro-industrial wastes: A comparative batch study for C/N optimisation","type":"article-journal","volume":"71"},"uris":["http://www.mendeley.com/documents/?uuid=ee637534-2286-4dd5-bb30-86129a1d9026"]}],"mendeley":{"formattedCitation":"(Zahan et al. 2018)","plainTextFormattedCitation":"(Zahan et al. 2018)","previouslyFormattedCitation":"(Zahan et al. 2018)"},"properties":{"noteIndex":0},"schema":"https://github.com/citation-style-language/schema/raw/master/csl-citation.json"}</w:instrText>
      </w:r>
      <w:r w:rsidR="00DF7CE7" w:rsidRPr="00686018">
        <w:rPr>
          <w:rFonts w:ascii="Times New Roman" w:hAnsi="Times New Roman" w:cs="Times New Roman"/>
          <w:sz w:val="24"/>
          <w:lang w:eastAsia="es-EC"/>
        </w:rPr>
        <w:fldChar w:fldCharType="separate"/>
      </w:r>
      <w:r w:rsidR="00DF7CE7" w:rsidRPr="00686018">
        <w:rPr>
          <w:rFonts w:ascii="Times New Roman" w:hAnsi="Times New Roman" w:cs="Times New Roman"/>
          <w:noProof/>
          <w:sz w:val="24"/>
          <w:lang w:eastAsia="es-EC"/>
        </w:rPr>
        <w:t xml:space="preserve">(Zahan </w:t>
      </w:r>
      <w:r w:rsidR="00C80D09">
        <w:rPr>
          <w:rFonts w:ascii="Times New Roman" w:hAnsi="Times New Roman" w:cs="Times New Roman"/>
          <w:noProof/>
          <w:sz w:val="24"/>
          <w:lang w:eastAsia="es-EC"/>
        </w:rPr>
        <w:t>et al.,</w:t>
      </w:r>
      <w:r w:rsidR="00DF7CE7" w:rsidRPr="00686018">
        <w:rPr>
          <w:rFonts w:ascii="Times New Roman" w:hAnsi="Times New Roman" w:cs="Times New Roman"/>
          <w:noProof/>
          <w:sz w:val="24"/>
          <w:lang w:eastAsia="es-EC"/>
        </w:rPr>
        <w:t xml:space="preserve"> 2018)</w:t>
      </w:r>
      <w:r w:rsidR="00DF7CE7" w:rsidRPr="00686018">
        <w:rPr>
          <w:rFonts w:ascii="Times New Roman" w:hAnsi="Times New Roman" w:cs="Times New Roman"/>
          <w:sz w:val="24"/>
          <w:lang w:eastAsia="es-EC"/>
        </w:rPr>
        <w:fldChar w:fldCharType="end"/>
      </w:r>
      <w:r w:rsidRPr="00686018">
        <w:rPr>
          <w:rFonts w:ascii="Times New Roman" w:hAnsi="Times New Roman" w:cs="Times New Roman"/>
          <w:sz w:val="24"/>
          <w:lang w:eastAsia="es-EC"/>
        </w:rPr>
        <w:t xml:space="preserve"> realizó un estudio con residuos agroindustriales y determino que el modelo se ajusta muy bien a los datos, los coeficientes de correlación estimados oscilaban entre 0.93 a 0.99. Igual que en el modelo de Gompertz, la fase de latencia (λ) y</w:t>
      </w:r>
      <w:r w:rsidRPr="00686018">
        <w:rPr>
          <w:rFonts w:ascii="Times New Roman" w:hAnsi="Times New Roman" w:cs="Times New Roman"/>
        </w:rPr>
        <w:t xml:space="preserve"> </w:t>
      </w:r>
      <w:r w:rsidRPr="00686018">
        <w:rPr>
          <w:rFonts w:ascii="Times New Roman" w:hAnsi="Times New Roman" w:cs="Times New Roman"/>
          <w:sz w:val="24"/>
          <w:lang w:eastAsia="es-EC"/>
        </w:rPr>
        <w:t>razón de producción máxima de metano (R</w:t>
      </w:r>
      <w:r w:rsidRPr="00686018">
        <w:rPr>
          <w:rFonts w:ascii="Times New Roman" w:hAnsi="Times New Roman" w:cs="Times New Roman"/>
          <w:sz w:val="24"/>
          <w:vertAlign w:val="subscript"/>
          <w:lang w:eastAsia="es-EC"/>
        </w:rPr>
        <w:t>m</w:t>
      </w:r>
      <w:r w:rsidRPr="00686018">
        <w:rPr>
          <w:rFonts w:ascii="Times New Roman" w:hAnsi="Times New Roman" w:cs="Times New Roman"/>
          <w:sz w:val="24"/>
          <w:lang w:eastAsia="es-EC"/>
        </w:rPr>
        <w:t>), son parámetros a estimar e indican la eficiencia del proceso de digestión.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2"/>
        <w:gridCol w:w="555"/>
      </w:tblGrid>
      <w:tr w:rsidR="00DF46F4" w:rsidRPr="00686018" w:rsidTr="00DF46F4">
        <w:tc>
          <w:tcPr>
            <w:tcW w:w="7933" w:type="dxa"/>
            <w:vAlign w:val="center"/>
          </w:tcPr>
          <w:p w:rsidR="00DF46F4" w:rsidRPr="00686018" w:rsidRDefault="00686018" w:rsidP="00A31608">
            <w:pPr>
              <w:jc w:val="both"/>
              <w:rPr>
                <w:rFonts w:ascii="Times New Roman" w:hAnsi="Times New Roman" w:cs="Times New Roman"/>
                <w:sz w:val="24"/>
                <w:szCs w:val="24"/>
              </w:rPr>
            </w:pPr>
            <m:oMathPara>
              <m:oMathParaPr>
                <m:jc m:val="center"/>
              </m:oMathParaPr>
              <m:oMath>
                <m:r>
                  <m:rPr>
                    <m:sty m:val="bi"/>
                  </m:rPr>
                  <w:rPr>
                    <w:rFonts w:ascii="Cambria Math" w:hAnsi="Cambria Math" w:cs="Times New Roman"/>
                    <w:sz w:val="24"/>
                    <w:szCs w:val="24"/>
                  </w:rPr>
                  <w:lastRenderedPageBreak/>
                  <m:t>B</m:t>
                </m:r>
                <m:r>
                  <m:rPr>
                    <m:sty m:val="b"/>
                  </m:rPr>
                  <w:rPr>
                    <w:rFonts w:ascii="Cambria Math" w:hAnsi="Cambria Math" w:cs="Times New Roman"/>
                    <w:sz w:val="24"/>
                    <w:szCs w:val="24"/>
                  </w:rPr>
                  <m:t>=</m:t>
                </m:r>
                <m:sSub>
                  <m:sSubPr>
                    <m:ctrlPr>
                      <w:rPr>
                        <w:rFonts w:ascii="Cambria Math" w:hAnsi="Cambria Math" w:cs="Times New Roman"/>
                        <w:b/>
                        <w:sz w:val="24"/>
                        <w:szCs w:val="24"/>
                      </w:rPr>
                    </m:ctrlPr>
                  </m:sSubPr>
                  <m:e>
                    <m:r>
                      <m:rPr>
                        <m:sty m:val="bi"/>
                      </m:rPr>
                      <w:rPr>
                        <w:rFonts w:ascii="Cambria Math" w:hAnsi="Cambria Math" w:cs="Times New Roman"/>
                        <w:sz w:val="24"/>
                        <w:szCs w:val="24"/>
                      </w:rPr>
                      <m:t>B</m:t>
                    </m:r>
                  </m:e>
                  <m:sub>
                    <m:r>
                      <m:rPr>
                        <m:sty m:val="b"/>
                      </m:rPr>
                      <w:rPr>
                        <w:rFonts w:ascii="Cambria Math" w:hAnsi="Cambria Math" w:cs="Times New Roman"/>
                        <w:sz w:val="24"/>
                        <w:szCs w:val="24"/>
                      </w:rPr>
                      <m:t>0</m:t>
                    </m:r>
                  </m:sub>
                </m:sSub>
                <m:d>
                  <m:dPr>
                    <m:begChr m:val="{"/>
                    <m:endChr m:val="}"/>
                    <m:ctrlPr>
                      <w:rPr>
                        <w:rFonts w:ascii="Cambria Math" w:hAnsi="Cambria Math" w:cs="Times New Roman"/>
                        <w:b/>
                        <w:sz w:val="24"/>
                        <w:szCs w:val="24"/>
                      </w:rPr>
                    </m:ctrlPr>
                  </m:dPr>
                  <m:e>
                    <m:r>
                      <m:rPr>
                        <m:sty m:val="b"/>
                      </m:rPr>
                      <w:rPr>
                        <w:rFonts w:ascii="Cambria Math" w:hAnsi="Cambria Math" w:cs="Times New Roman"/>
                        <w:sz w:val="24"/>
                        <w:szCs w:val="24"/>
                      </w:rPr>
                      <m:t>1-</m:t>
                    </m:r>
                    <m:r>
                      <m:rPr>
                        <m:sty m:val="bi"/>
                      </m:rPr>
                      <w:rPr>
                        <w:rFonts w:ascii="Cambria Math" w:hAnsi="Cambria Math" w:cs="Times New Roman"/>
                        <w:sz w:val="24"/>
                        <w:szCs w:val="24"/>
                      </w:rPr>
                      <m:t>exp</m:t>
                    </m:r>
                    <m:d>
                      <m:dPr>
                        <m:begChr m:val="["/>
                        <m:endChr m:val="]"/>
                        <m:ctrlPr>
                          <w:rPr>
                            <w:rFonts w:ascii="Cambria Math" w:hAnsi="Cambria Math" w:cs="Times New Roman"/>
                            <w:b/>
                            <w:sz w:val="24"/>
                            <w:szCs w:val="24"/>
                          </w:rPr>
                        </m:ctrlPr>
                      </m:dPr>
                      <m:e>
                        <m:f>
                          <m:fPr>
                            <m:ctrlPr>
                              <w:rPr>
                                <w:rFonts w:ascii="Cambria Math" w:hAnsi="Cambria Math" w:cs="Times New Roman"/>
                                <w:b/>
                                <w:sz w:val="24"/>
                                <w:szCs w:val="24"/>
                              </w:rPr>
                            </m:ctrlPr>
                          </m:fPr>
                          <m:num>
                            <m:sSub>
                              <m:sSubPr>
                                <m:ctrlPr>
                                  <w:rPr>
                                    <w:rFonts w:ascii="Cambria Math" w:hAnsi="Cambria Math" w:cs="Times New Roman"/>
                                    <w:b/>
                                    <w:sz w:val="24"/>
                                    <w:szCs w:val="24"/>
                                  </w:rPr>
                                </m:ctrlPr>
                              </m:sSubPr>
                              <m:e>
                                <m:r>
                                  <m:rPr>
                                    <m:sty m:val="b"/>
                                  </m:rPr>
                                  <w:rPr>
                                    <w:rFonts w:ascii="Cambria Math" w:hAnsi="Cambria Math" w:cs="Times New Roman"/>
                                    <w:sz w:val="24"/>
                                    <w:szCs w:val="24"/>
                                  </w:rPr>
                                  <m:t>-</m:t>
                                </m:r>
                                <m:r>
                                  <m:rPr>
                                    <m:sty m:val="bi"/>
                                  </m:rPr>
                                  <w:rPr>
                                    <w:rFonts w:ascii="Cambria Math" w:hAnsi="Cambria Math" w:cs="Times New Roman"/>
                                    <w:sz w:val="24"/>
                                    <w:szCs w:val="24"/>
                                  </w:rPr>
                                  <m:t>R</m:t>
                                </m:r>
                              </m:e>
                              <m:sub>
                                <m:r>
                                  <m:rPr>
                                    <m:sty m:val="bi"/>
                                  </m:rPr>
                                  <w:rPr>
                                    <w:rFonts w:ascii="Cambria Math" w:hAnsi="Cambria Math" w:cs="Times New Roman"/>
                                    <w:sz w:val="24"/>
                                    <w:szCs w:val="24"/>
                                  </w:rPr>
                                  <m:t>m</m:t>
                                </m:r>
                              </m:sub>
                            </m:sSub>
                          </m:num>
                          <m:den>
                            <m:sSub>
                              <m:sSubPr>
                                <m:ctrlPr>
                                  <w:rPr>
                                    <w:rFonts w:ascii="Cambria Math" w:hAnsi="Cambria Math" w:cs="Times New Roman"/>
                                    <w:b/>
                                    <w:sz w:val="24"/>
                                    <w:szCs w:val="24"/>
                                  </w:rPr>
                                </m:ctrlPr>
                              </m:sSubPr>
                              <m:e>
                                <m:r>
                                  <m:rPr>
                                    <m:sty m:val="bi"/>
                                  </m:rPr>
                                  <w:rPr>
                                    <w:rFonts w:ascii="Cambria Math" w:hAnsi="Cambria Math" w:cs="Times New Roman"/>
                                    <w:sz w:val="24"/>
                                    <w:szCs w:val="24"/>
                                  </w:rPr>
                                  <m:t>B</m:t>
                                </m:r>
                              </m:e>
                              <m:sub>
                                <m:r>
                                  <m:rPr>
                                    <m:sty m:val="b"/>
                                  </m:rPr>
                                  <w:rPr>
                                    <w:rFonts w:ascii="Cambria Math" w:hAnsi="Cambria Math" w:cs="Times New Roman"/>
                                    <w:sz w:val="24"/>
                                    <w:szCs w:val="24"/>
                                  </w:rPr>
                                  <m:t>0</m:t>
                                </m:r>
                              </m:sub>
                            </m:sSub>
                          </m:den>
                        </m:f>
                        <m:d>
                          <m:dPr>
                            <m:ctrlPr>
                              <w:rPr>
                                <w:rFonts w:ascii="Cambria Math" w:hAnsi="Cambria Math" w:cs="Times New Roman"/>
                                <w:b/>
                                <w:sz w:val="24"/>
                                <w:szCs w:val="24"/>
                              </w:rPr>
                            </m:ctrlPr>
                          </m:dPr>
                          <m:e>
                            <m:r>
                              <m:rPr>
                                <m:sty m:val="bi"/>
                              </m:rPr>
                              <w:rPr>
                                <w:rFonts w:ascii="Cambria Math" w:hAnsi="Cambria Math" w:cs="Times New Roman"/>
                                <w:sz w:val="24"/>
                                <w:szCs w:val="24"/>
                              </w:rPr>
                              <m:t>t</m:t>
                            </m:r>
                            <m:r>
                              <m:rPr>
                                <m:sty m:val="b"/>
                              </m:rPr>
                              <w:rPr>
                                <w:rFonts w:ascii="Cambria Math" w:hAnsi="Cambria Math" w:cs="Times New Roman"/>
                                <w:sz w:val="24"/>
                                <w:szCs w:val="24"/>
                              </w:rPr>
                              <m:t>-</m:t>
                            </m:r>
                            <m:r>
                              <m:rPr>
                                <m:sty m:val="bi"/>
                              </m:rPr>
                              <w:rPr>
                                <w:rFonts w:ascii="Cambria Math" w:hAnsi="Cambria Math" w:cs="Times New Roman"/>
                                <w:sz w:val="24"/>
                                <w:szCs w:val="24"/>
                              </w:rPr>
                              <m:t>λ</m:t>
                            </m:r>
                          </m:e>
                        </m:d>
                      </m:e>
                    </m:d>
                  </m:e>
                </m:d>
              </m:oMath>
            </m:oMathPara>
          </w:p>
        </w:tc>
        <w:tc>
          <w:tcPr>
            <w:tcW w:w="561" w:type="dxa"/>
            <w:vAlign w:val="center"/>
          </w:tcPr>
          <w:p w:rsidR="00DF46F4" w:rsidRPr="00686018" w:rsidRDefault="0082739E" w:rsidP="00A31608">
            <w:pPr>
              <w:keepNext/>
              <w:tabs>
                <w:tab w:val="left" w:pos="1005"/>
              </w:tabs>
              <w:jc w:val="both"/>
              <w:rPr>
                <w:rFonts w:ascii="Times New Roman" w:hAnsi="Times New Roman" w:cs="Times New Roman"/>
                <w:b/>
                <w:sz w:val="24"/>
                <w:szCs w:val="24"/>
              </w:rPr>
            </w:pPr>
            <w:r w:rsidRPr="00686018">
              <w:rPr>
                <w:rFonts w:ascii="Times New Roman" w:hAnsi="Times New Roman" w:cs="Times New Roman"/>
                <w:b/>
                <w:sz w:val="24"/>
                <w:szCs w:val="24"/>
              </w:rPr>
              <w:t>(</w:t>
            </w:r>
            <w:r w:rsidR="00DF46F4" w:rsidRPr="00686018">
              <w:rPr>
                <w:rFonts w:ascii="Times New Roman" w:hAnsi="Times New Roman" w:cs="Times New Roman"/>
                <w:b/>
                <w:sz w:val="24"/>
                <w:szCs w:val="24"/>
              </w:rPr>
              <w:fldChar w:fldCharType="begin"/>
            </w:r>
            <w:r w:rsidR="00DF46F4" w:rsidRPr="00686018">
              <w:rPr>
                <w:rFonts w:ascii="Times New Roman" w:hAnsi="Times New Roman" w:cs="Times New Roman"/>
                <w:b/>
                <w:sz w:val="24"/>
                <w:szCs w:val="24"/>
              </w:rPr>
              <w:instrText xml:space="preserve"> SEQ ( \* ARABIC </w:instrText>
            </w:r>
            <w:r w:rsidR="00DF46F4"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6</w:t>
            </w:r>
            <w:r w:rsidR="00DF46F4" w:rsidRPr="00686018">
              <w:rPr>
                <w:rFonts w:ascii="Times New Roman" w:hAnsi="Times New Roman" w:cs="Times New Roman"/>
                <w:b/>
                <w:sz w:val="24"/>
                <w:szCs w:val="24"/>
              </w:rPr>
              <w:fldChar w:fldCharType="end"/>
            </w:r>
            <w:r w:rsidR="00DF46F4" w:rsidRPr="00686018">
              <w:rPr>
                <w:rFonts w:ascii="Times New Roman" w:hAnsi="Times New Roman" w:cs="Times New Roman"/>
                <w:b/>
                <w:sz w:val="24"/>
                <w:szCs w:val="24"/>
              </w:rPr>
              <w:t>)</w:t>
            </w:r>
          </w:p>
        </w:tc>
      </w:tr>
    </w:tbl>
    <w:p w:rsidR="00DF46F4" w:rsidRPr="00686018" w:rsidRDefault="00DF46F4" w:rsidP="00A31608">
      <w:pPr>
        <w:jc w:val="both"/>
        <w:rPr>
          <w:rFonts w:ascii="Times New Roman" w:eastAsiaTheme="minorEastAsia" w:hAnsi="Times New Roman" w:cs="Times New Roman"/>
          <w:noProof/>
          <w:sz w:val="24"/>
          <w:szCs w:val="24"/>
          <w:lang w:eastAsia="es-EC"/>
        </w:rPr>
      </w:pPr>
      <w:r w:rsidRPr="00686018">
        <w:rPr>
          <w:rFonts w:ascii="Times New Roman" w:eastAsiaTheme="minorEastAsia" w:hAnsi="Times New Roman" w:cs="Times New Roman"/>
          <w:noProof/>
          <w:sz w:val="24"/>
          <w:szCs w:val="24"/>
          <w:lang w:eastAsia="es-EC"/>
        </w:rPr>
        <w:t>Donde:</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B: </w:t>
      </w:r>
      <w:r w:rsidRPr="00686018">
        <w:rPr>
          <w:rFonts w:ascii="Times New Roman" w:hAnsi="Times New Roman" w:cs="Times New Roman"/>
          <w:noProof/>
          <w:sz w:val="24"/>
          <w:szCs w:val="24"/>
          <w:lang w:eastAsia="es-EC"/>
        </w:rPr>
        <w:t>rendimiento de metano acumulado en el tiempo t (</w:t>
      </w:r>
      <w:r w:rsidR="00DD14D0">
        <w:rPr>
          <w:rFonts w:ascii="Times New Roman" w:hAnsi="Times New Roman" w:cs="Times New Roman"/>
          <w:noProof/>
          <w:sz w:val="24"/>
          <w:szCs w:val="24"/>
          <w:lang w:eastAsia="es-EC"/>
        </w:rPr>
        <w:t>mL</w:t>
      </w:r>
      <w:r w:rsidRPr="00686018">
        <w:rPr>
          <w:rFonts w:ascii="Times New Roman" w:hAnsi="Times New Roman" w:cs="Times New Roman"/>
          <w:noProof/>
          <w:sz w:val="24"/>
          <w:szCs w:val="24"/>
          <w:lang w:eastAsia="es-EC"/>
        </w:rPr>
        <w:t>/g VS)</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B</w:t>
      </w:r>
      <w:r w:rsidRPr="00686018">
        <w:rPr>
          <w:rFonts w:ascii="Times New Roman" w:hAnsi="Times New Roman" w:cs="Times New Roman"/>
          <w:b/>
          <w:noProof/>
          <w:sz w:val="24"/>
          <w:szCs w:val="24"/>
          <w:vertAlign w:val="subscript"/>
          <w:lang w:eastAsia="es-EC"/>
        </w:rPr>
        <w:t>0</w:t>
      </w:r>
      <w:r w:rsidRPr="00686018">
        <w:rPr>
          <w:rFonts w:ascii="Times New Roman" w:hAnsi="Times New Roman" w:cs="Times New Roman"/>
          <w:b/>
          <w:noProof/>
          <w:sz w:val="24"/>
          <w:szCs w:val="24"/>
          <w:lang w:eastAsia="es-EC"/>
        </w:rPr>
        <w:t xml:space="preserve">: </w:t>
      </w:r>
      <w:r w:rsidRPr="00686018">
        <w:rPr>
          <w:rFonts w:ascii="Times New Roman" w:hAnsi="Times New Roman" w:cs="Times New Roman"/>
          <w:noProof/>
          <w:sz w:val="24"/>
          <w:szCs w:val="24"/>
          <w:lang w:eastAsia="es-EC"/>
        </w:rPr>
        <w:t>rendimiento maximo de metano a partir del sustrato (</w:t>
      </w:r>
      <w:r w:rsidR="00DD14D0">
        <w:rPr>
          <w:rFonts w:ascii="Times New Roman" w:hAnsi="Times New Roman" w:cs="Times New Roman"/>
          <w:noProof/>
          <w:sz w:val="24"/>
          <w:szCs w:val="24"/>
          <w:lang w:eastAsia="es-EC"/>
        </w:rPr>
        <w:t>mL</w:t>
      </w:r>
      <w:r w:rsidRPr="00686018">
        <w:rPr>
          <w:rFonts w:ascii="Times New Roman" w:hAnsi="Times New Roman" w:cs="Times New Roman"/>
          <w:noProof/>
          <w:sz w:val="24"/>
          <w:szCs w:val="24"/>
          <w:lang w:eastAsia="es-EC"/>
        </w:rPr>
        <w:t>/g VS)</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t: </w:t>
      </w:r>
      <w:r w:rsidRPr="00686018">
        <w:rPr>
          <w:rFonts w:ascii="Times New Roman" w:hAnsi="Times New Roman" w:cs="Times New Roman"/>
          <w:noProof/>
          <w:sz w:val="24"/>
          <w:szCs w:val="24"/>
          <w:lang w:eastAsia="es-EC"/>
        </w:rPr>
        <w:t>Tiempo de digestion (d)</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λ: </w:t>
      </w:r>
      <w:r w:rsidRPr="00686018">
        <w:rPr>
          <w:rFonts w:ascii="Times New Roman" w:hAnsi="Times New Roman" w:cs="Times New Roman"/>
          <w:noProof/>
          <w:sz w:val="24"/>
          <w:szCs w:val="24"/>
          <w:lang w:eastAsia="es-EC"/>
        </w:rPr>
        <w:t>Tiempo de la fase de latencia (d)</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R</w:t>
      </w:r>
      <w:r w:rsidRPr="00686018">
        <w:rPr>
          <w:rFonts w:ascii="Times New Roman" w:hAnsi="Times New Roman" w:cs="Times New Roman"/>
          <w:b/>
          <w:noProof/>
          <w:sz w:val="24"/>
          <w:szCs w:val="24"/>
          <w:vertAlign w:val="subscript"/>
          <w:lang w:eastAsia="es-EC"/>
        </w:rPr>
        <w:t>m</w:t>
      </w:r>
      <w:r w:rsidRPr="00686018">
        <w:rPr>
          <w:rFonts w:ascii="Times New Roman" w:hAnsi="Times New Roman" w:cs="Times New Roman"/>
          <w:b/>
          <w:noProof/>
          <w:sz w:val="24"/>
          <w:szCs w:val="24"/>
          <w:lang w:eastAsia="es-EC"/>
        </w:rPr>
        <w:t xml:space="preserve">: </w:t>
      </w:r>
      <w:r w:rsidRPr="00686018">
        <w:rPr>
          <w:rFonts w:ascii="Times New Roman" w:hAnsi="Times New Roman" w:cs="Times New Roman"/>
          <w:noProof/>
          <w:sz w:val="24"/>
          <w:szCs w:val="24"/>
          <w:lang w:eastAsia="es-EC"/>
        </w:rPr>
        <w:t>razon maxima de produccion de metano</w:t>
      </w:r>
      <w:r w:rsidRPr="00686018">
        <w:rPr>
          <w:rFonts w:ascii="Times New Roman" w:hAnsi="Times New Roman" w:cs="Times New Roman"/>
          <w:b/>
          <w:noProof/>
          <w:sz w:val="24"/>
          <w:szCs w:val="24"/>
          <w:lang w:eastAsia="es-EC"/>
        </w:rPr>
        <w:t xml:space="preserve"> </w:t>
      </w:r>
      <w:r w:rsidRPr="00686018">
        <w:rPr>
          <w:rFonts w:ascii="Times New Roman" w:hAnsi="Times New Roman" w:cs="Times New Roman"/>
          <w:noProof/>
          <w:sz w:val="24"/>
          <w:szCs w:val="24"/>
          <w:lang w:eastAsia="es-EC"/>
        </w:rPr>
        <w:t>(</w:t>
      </w:r>
      <w:r w:rsidR="00DD14D0">
        <w:rPr>
          <w:rFonts w:ascii="Times New Roman" w:hAnsi="Times New Roman" w:cs="Times New Roman"/>
          <w:noProof/>
          <w:sz w:val="24"/>
          <w:szCs w:val="24"/>
          <w:lang w:eastAsia="es-EC"/>
        </w:rPr>
        <w:t>mL</w:t>
      </w:r>
      <w:r w:rsidRPr="00686018">
        <w:rPr>
          <w:rFonts w:ascii="Times New Roman" w:hAnsi="Times New Roman" w:cs="Times New Roman"/>
          <w:noProof/>
          <w:sz w:val="24"/>
          <w:szCs w:val="24"/>
          <w:lang w:eastAsia="es-EC"/>
        </w:rPr>
        <w:t>/g VS)</w:t>
      </w:r>
    </w:p>
    <w:p w:rsidR="00DF46F4" w:rsidRPr="00686018" w:rsidRDefault="00DF46F4" w:rsidP="00A31608">
      <w:pPr>
        <w:pStyle w:val="Ttulo5"/>
        <w:numPr>
          <w:ilvl w:val="3"/>
          <w:numId w:val="4"/>
        </w:numPr>
        <w:ind w:left="646" w:hanging="646"/>
        <w:jc w:val="both"/>
        <w:rPr>
          <w:rFonts w:ascii="Times New Roman" w:hAnsi="Times New Roman" w:cs="Times New Roman"/>
          <w:i w:val="0"/>
          <w:lang w:eastAsia="es-EC"/>
        </w:rPr>
      </w:pPr>
      <w:bookmarkStart w:id="150" w:name="_Toc9537810"/>
      <w:r w:rsidRPr="00686018">
        <w:rPr>
          <w:rFonts w:ascii="Times New Roman" w:hAnsi="Times New Roman" w:cs="Times New Roman"/>
          <w:i w:val="0"/>
          <w:lang w:eastAsia="es-EC"/>
        </w:rPr>
        <w:t>Modelo del cono</w:t>
      </w:r>
      <w:bookmarkEnd w:id="150"/>
    </w:p>
    <w:p w:rsidR="00DF46F4" w:rsidRPr="00686018" w:rsidRDefault="00DF46F4" w:rsidP="00A31608">
      <w:pPr>
        <w:jc w:val="both"/>
        <w:rPr>
          <w:rFonts w:ascii="Times New Roman" w:hAnsi="Times New Roman" w:cs="Times New Roman"/>
          <w:color w:val="000000" w:themeColor="text1"/>
          <w:sz w:val="24"/>
          <w:lang w:eastAsia="es-EC"/>
        </w:rPr>
      </w:pPr>
      <w:r w:rsidRPr="00686018">
        <w:rPr>
          <w:rFonts w:ascii="Times New Roman" w:hAnsi="Times New Roman" w:cs="Times New Roman"/>
          <w:sz w:val="24"/>
          <w:lang w:eastAsia="es-EC"/>
        </w:rPr>
        <w:t xml:space="preserve">Algunos investigadores han reportado que el modelo del cono realiza el mejor ajuste de la producción de metano en codigestión. </w:t>
      </w:r>
      <w:r w:rsidR="00891358" w:rsidRPr="00686018">
        <w:rPr>
          <w:rFonts w:ascii="Times New Roman" w:hAnsi="Times New Roman" w:cs="Times New Roman"/>
          <w:sz w:val="24"/>
          <w:lang w:eastAsia="es-EC"/>
        </w:rPr>
        <w:fldChar w:fldCharType="begin" w:fldLock="1"/>
      </w:r>
      <w:r w:rsidR="00891358" w:rsidRPr="00686018">
        <w:rPr>
          <w:rFonts w:ascii="Times New Roman" w:hAnsi="Times New Roman" w:cs="Times New Roman"/>
          <w:sz w:val="24"/>
          <w:lang w:eastAsia="es-EC"/>
        </w:rPr>
        <w:instrText>ADDIN CSL_CITATION {"citationItems":[{"id":"ITEM-1","itemData":{"DOI":"10.1016/j.biortech.2012.12.183","ISSN":"18732976","abstract":"Anaerobic batch digestion of four feedstocks was conducted at 35 and 50 °C: switchgrass; Spirulina platensis algae; and two mixtures of both switchgrass and S. platensis. Mixture 1 was composed of 87% switchgrass (based on volatile solids) and 13% S. platensis. Mixture 2 was composed of 67% switchgrass and 33% S. platensis. The kinetics of methane production from these feedstocks was studied using four first order models: exponential, Gompertz, Fitzhugh, and Cone. The methane yields after 40. days of digestion at 35 °C were 355, 127, 143 and 198. ml/g VS, respectively for S. platensis, switchgrass, and Mixtures 1 and 2, while the yields at 50 °C were 358, 167, 198, and 236. ml/g VS, respectively. Based on Akaike's information criterion, the Cone model best described the experimental data. The Cone model was validated with experimental data collected from the digestion of a third mixture that was composed of 83% switchgrass and 17% S. platensis. © 2013.","author":[{"dropping-particle":"","family":"El-Mashad","given":"Hamed M.","non-dropping-particle":"","parse-names":false,"suffix":""}],"container-title":"Bioresource Technology","id":"ITEM-1","issued":{"date-parts":[["2013"]]},"page":"305-312","title":"Kinetics of methane production from the codigestion of switchgrass and Spirulina platensis algae","type":"article-journal","volume":"132"},"uris":["http://www.mendeley.com/documents/?uuid=67ee805b-5b7c-40a0-9202-2cbb4c6c895d"]}],"mendeley":{"formattedCitation":"(El-Mashad 2013)","plainTextFormattedCitation":"(El-Mashad 2013)","previouslyFormattedCitation":"(El-Mashad 2013)"},"properties":{"noteIndex":0},"schema":"https://github.com/citation-style-language/schema/raw/master/csl-citation.json"}</w:instrText>
      </w:r>
      <w:r w:rsidR="00891358" w:rsidRPr="00686018">
        <w:rPr>
          <w:rFonts w:ascii="Times New Roman" w:hAnsi="Times New Roman" w:cs="Times New Roman"/>
          <w:sz w:val="24"/>
          <w:lang w:eastAsia="es-EC"/>
        </w:rPr>
        <w:fldChar w:fldCharType="separate"/>
      </w:r>
      <w:r w:rsidR="00891358" w:rsidRPr="00686018">
        <w:rPr>
          <w:rFonts w:ascii="Times New Roman" w:hAnsi="Times New Roman" w:cs="Times New Roman"/>
          <w:noProof/>
          <w:sz w:val="24"/>
          <w:lang w:eastAsia="es-EC"/>
        </w:rPr>
        <w:t>(El-Mashad 2013)</w:t>
      </w:r>
      <w:r w:rsidR="00891358" w:rsidRPr="00686018">
        <w:rPr>
          <w:rFonts w:ascii="Times New Roman" w:hAnsi="Times New Roman" w:cs="Times New Roman"/>
          <w:sz w:val="24"/>
          <w:lang w:eastAsia="es-EC"/>
        </w:rPr>
        <w:fldChar w:fldCharType="end"/>
      </w:r>
      <w:r w:rsidRPr="00686018">
        <w:rPr>
          <w:rFonts w:ascii="Times New Roman" w:hAnsi="Times New Roman" w:cs="Times New Roman"/>
          <w:sz w:val="24"/>
          <w:lang w:eastAsia="es-EC"/>
        </w:rPr>
        <w:t xml:space="preserve">, </w:t>
      </w:r>
      <w:r w:rsidRPr="00686018">
        <w:rPr>
          <w:rFonts w:ascii="Times New Roman" w:hAnsi="Times New Roman" w:cs="Times New Roman"/>
          <w:color w:val="000000" w:themeColor="text1"/>
          <w:sz w:val="24"/>
          <w:lang w:eastAsia="es-EC"/>
        </w:rPr>
        <w:t>estudio la codigestión de césped y algas y determino que el modelo del cono describe mejor la información experimental. Existe un incremento de los valores de los parámetros en un reactor en codige</w:t>
      </w:r>
      <w:r w:rsidR="00891358" w:rsidRPr="00686018">
        <w:rPr>
          <w:rFonts w:ascii="Times New Roman" w:hAnsi="Times New Roman" w:cs="Times New Roman"/>
          <w:color w:val="000000" w:themeColor="text1"/>
          <w:sz w:val="24"/>
          <w:lang w:eastAsia="es-EC"/>
        </w:rPr>
        <w:t>stión, no ocurre lo mismo en mon</w:t>
      </w:r>
      <w:r w:rsidRPr="00686018">
        <w:rPr>
          <w:rFonts w:ascii="Times New Roman" w:hAnsi="Times New Roman" w:cs="Times New Roman"/>
          <w:color w:val="000000" w:themeColor="text1"/>
          <w:sz w:val="24"/>
          <w:lang w:eastAsia="es-EC"/>
        </w:rPr>
        <w:t>odigestión, esto debido al efecto sinérgico de los sustratos</w:t>
      </w:r>
      <w:r w:rsidR="00891358" w:rsidRPr="00686018">
        <w:rPr>
          <w:rFonts w:ascii="Times New Roman" w:hAnsi="Times New Roman" w:cs="Times New Roman"/>
          <w:color w:val="FF0000"/>
          <w:sz w:val="24"/>
          <w:lang w:eastAsia="es-EC"/>
        </w:rPr>
        <w:t xml:space="preserve"> </w:t>
      </w:r>
      <w:r w:rsidR="00891358" w:rsidRPr="00686018">
        <w:rPr>
          <w:rFonts w:ascii="Times New Roman" w:hAnsi="Times New Roman" w:cs="Times New Roman"/>
          <w:sz w:val="24"/>
          <w:lang w:eastAsia="es-EC"/>
        </w:rPr>
        <w:fldChar w:fldCharType="begin" w:fldLock="1"/>
      </w:r>
      <w:r w:rsidR="008E5756" w:rsidRPr="00686018">
        <w:rPr>
          <w:rFonts w:ascii="Times New Roman" w:hAnsi="Times New Roman" w:cs="Times New Roman"/>
          <w:sz w:val="24"/>
          <w:lang w:eastAsia="es-EC"/>
        </w:rPr>
        <w:instrText>ADDIN CSL_CITATION {"citationItems":[{"id":"ITEM-1","itemData":{"DOI":"10.1016/j.biortech.2012.12.183","ISSN":"18732976","abstract":"Anaerobic batch digestion of four feedstocks was conducted at 35 and 50 °C: switchgrass; Spirulina platensis algae; and two mixtures of both switchgrass and S. platensis. Mixture 1 was composed of 87% switchgrass (based on volatile solids) and 13% S. platensis. Mixture 2 was composed of 67% switchgrass and 33% S. platensis. The kinetics of methane production from these feedstocks was studied using four first order models: exponential, Gompertz, Fitzhugh, and Cone. The methane yields after 40. days of digestion at 35 °C were 355, 127, 143 and 198. ml/g VS, respectively for S. platensis, switchgrass, and Mixtures 1 and 2, while the yields at 50 °C were 358, 167, 198, and 236. ml/g VS, respectively. Based on Akaike's information criterion, the Cone model best described the experimental data. The Cone model was validated with experimental data collected from the digestion of a third mixture that was composed of 83% switchgrass and 17% S. platensis. © 2013.","author":[{"dropping-particle":"","family":"El-Mashad","given":"Hamed M.","non-dropping-particle":"","parse-names":false,"suffix":""}],"container-title":"Bioresource Technology","id":"ITEM-1","issued":{"date-parts":[["2013"]]},"page":"305-312","title":"Kinetics of methane production from the codigestion of switchgrass and Spirulina platensis algae","type":"article-journal","volume":"132"},"uris":["http://www.mendeley.com/documents/?uuid=67ee805b-5b7c-40a0-9202-2cbb4c6c895d"]}],"mendeley":{"formattedCitation":"(El-Mashad 2013)","plainTextFormattedCitation":"(El-Mashad 2013)","previouslyFormattedCitation":"(El-Mashad 2013)"},"properties":{"noteIndex":0},"schema":"https://github.com/citation-style-language/schema/raw/master/csl-citation.json"}</w:instrText>
      </w:r>
      <w:r w:rsidR="00891358" w:rsidRPr="00686018">
        <w:rPr>
          <w:rFonts w:ascii="Times New Roman" w:hAnsi="Times New Roman" w:cs="Times New Roman"/>
          <w:sz w:val="24"/>
          <w:lang w:eastAsia="es-EC"/>
        </w:rPr>
        <w:fldChar w:fldCharType="separate"/>
      </w:r>
      <w:r w:rsidR="00891358" w:rsidRPr="00686018">
        <w:rPr>
          <w:rFonts w:ascii="Times New Roman" w:hAnsi="Times New Roman" w:cs="Times New Roman"/>
          <w:noProof/>
          <w:sz w:val="24"/>
          <w:lang w:eastAsia="es-EC"/>
        </w:rPr>
        <w:t>(El-Mashad 2013)</w:t>
      </w:r>
      <w:r w:rsidR="00891358" w:rsidRPr="00686018">
        <w:rPr>
          <w:rFonts w:ascii="Times New Roman" w:hAnsi="Times New Roman" w:cs="Times New Roman"/>
          <w:sz w:val="24"/>
          <w:lang w:eastAsia="es-EC"/>
        </w:rPr>
        <w:fldChar w:fldCharType="end"/>
      </w:r>
      <w:r w:rsidRPr="00686018">
        <w:rPr>
          <w:rFonts w:ascii="Times New Roman" w:hAnsi="Times New Roman" w:cs="Times New Roman"/>
          <w:color w:val="000000" w:themeColor="text1"/>
          <w:sz w:val="24"/>
          <w:lang w:eastAsia="es-EC"/>
        </w:rPr>
        <w:t>. El parámetro k, igual que en el modelo de primer orden es característico del sustrato empleado.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2"/>
        <w:gridCol w:w="555"/>
      </w:tblGrid>
      <w:tr w:rsidR="00DF46F4" w:rsidRPr="00686018" w:rsidTr="00DF46F4">
        <w:tc>
          <w:tcPr>
            <w:tcW w:w="7933" w:type="dxa"/>
            <w:vAlign w:val="center"/>
          </w:tcPr>
          <w:p w:rsidR="00DF46F4" w:rsidRPr="00686018" w:rsidRDefault="00686018" w:rsidP="00A31608">
            <w:pPr>
              <w:jc w:val="both"/>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B</m:t>
                </m:r>
                <m:r>
                  <m:rPr>
                    <m:sty m:val="b"/>
                  </m:rPr>
                  <w:rPr>
                    <w:rFonts w:ascii="Cambria Math" w:hAnsi="Cambria Math" w:cs="Times New Roman"/>
                    <w:sz w:val="24"/>
                    <w:szCs w:val="24"/>
                  </w:rPr>
                  <m:t>=</m:t>
                </m:r>
                <m:f>
                  <m:fPr>
                    <m:ctrlPr>
                      <w:rPr>
                        <w:rFonts w:ascii="Cambria Math" w:hAnsi="Cambria Math" w:cs="Times New Roman"/>
                        <w:b/>
                        <w:sz w:val="24"/>
                        <w:szCs w:val="24"/>
                      </w:rPr>
                    </m:ctrlPr>
                  </m:fPr>
                  <m:num>
                    <m:sSub>
                      <m:sSubPr>
                        <m:ctrlPr>
                          <w:rPr>
                            <w:rFonts w:ascii="Cambria Math" w:hAnsi="Cambria Math" w:cs="Times New Roman"/>
                            <w:b/>
                            <w:sz w:val="24"/>
                            <w:szCs w:val="24"/>
                          </w:rPr>
                        </m:ctrlPr>
                      </m:sSubPr>
                      <m:e>
                        <m:r>
                          <m:rPr>
                            <m:sty m:val="bi"/>
                          </m:rPr>
                          <w:rPr>
                            <w:rFonts w:ascii="Cambria Math" w:hAnsi="Cambria Math" w:cs="Times New Roman"/>
                            <w:sz w:val="24"/>
                            <w:szCs w:val="24"/>
                          </w:rPr>
                          <m:t>B</m:t>
                        </m:r>
                      </m:e>
                      <m:sub>
                        <m:r>
                          <m:rPr>
                            <m:sty m:val="bi"/>
                          </m:rPr>
                          <w:rPr>
                            <w:rFonts w:ascii="Cambria Math" w:hAnsi="Cambria Math" w:cs="Times New Roman"/>
                            <w:sz w:val="24"/>
                            <w:szCs w:val="24"/>
                          </w:rPr>
                          <m:t>O</m:t>
                        </m:r>
                      </m:sub>
                    </m:sSub>
                  </m:num>
                  <m:den>
                    <m:r>
                      <m:rPr>
                        <m:sty m:val="b"/>
                      </m:rPr>
                      <w:rPr>
                        <w:rFonts w:ascii="Cambria Math" w:hAnsi="Cambria Math" w:cs="Times New Roman"/>
                        <w:sz w:val="24"/>
                        <w:szCs w:val="24"/>
                      </w:rPr>
                      <m:t>1+</m:t>
                    </m:r>
                    <m:sSup>
                      <m:sSupPr>
                        <m:ctrlPr>
                          <w:rPr>
                            <w:rFonts w:ascii="Cambria Math" w:hAnsi="Cambria Math" w:cs="Times New Roman"/>
                            <w:b/>
                            <w:sz w:val="24"/>
                            <w:szCs w:val="24"/>
                          </w:rPr>
                        </m:ctrlPr>
                      </m:sSupPr>
                      <m:e>
                        <m:r>
                          <m:rPr>
                            <m:sty m:val="b"/>
                          </m:rPr>
                          <w:rPr>
                            <w:rFonts w:ascii="Cambria Math" w:hAnsi="Cambria Math" w:cs="Times New Roman"/>
                            <w:sz w:val="24"/>
                            <w:szCs w:val="24"/>
                          </w:rPr>
                          <m:t>(</m:t>
                        </m:r>
                        <m:r>
                          <m:rPr>
                            <m:sty m:val="bi"/>
                          </m:rPr>
                          <w:rPr>
                            <w:rFonts w:ascii="Cambria Math" w:hAnsi="Cambria Math" w:cs="Times New Roman"/>
                            <w:sz w:val="24"/>
                            <w:szCs w:val="24"/>
                          </w:rPr>
                          <m:t>Kt</m:t>
                        </m:r>
                        <m:r>
                          <m:rPr>
                            <m:sty m:val="b"/>
                          </m:rPr>
                          <w:rPr>
                            <w:rFonts w:ascii="Cambria Math" w:hAnsi="Cambria Math" w:cs="Times New Roman"/>
                            <w:sz w:val="24"/>
                            <w:szCs w:val="24"/>
                          </w:rPr>
                          <m:t>)</m:t>
                        </m:r>
                      </m:e>
                      <m:sup>
                        <m:r>
                          <m:rPr>
                            <m:sty m:val="b"/>
                          </m:rPr>
                          <w:rPr>
                            <w:rFonts w:ascii="Cambria Math" w:hAnsi="Cambria Math" w:cs="Times New Roman"/>
                            <w:sz w:val="24"/>
                            <w:szCs w:val="24"/>
                          </w:rPr>
                          <m:t>-</m:t>
                        </m:r>
                        <m:r>
                          <m:rPr>
                            <m:sty m:val="bi"/>
                          </m:rPr>
                          <w:rPr>
                            <w:rFonts w:ascii="Cambria Math" w:hAnsi="Cambria Math" w:cs="Times New Roman"/>
                            <w:sz w:val="24"/>
                            <w:szCs w:val="24"/>
                          </w:rPr>
                          <m:t>n</m:t>
                        </m:r>
                      </m:sup>
                    </m:sSup>
                  </m:den>
                </m:f>
              </m:oMath>
            </m:oMathPara>
          </w:p>
        </w:tc>
        <w:tc>
          <w:tcPr>
            <w:tcW w:w="561" w:type="dxa"/>
            <w:vAlign w:val="center"/>
          </w:tcPr>
          <w:p w:rsidR="00DF46F4" w:rsidRPr="00686018" w:rsidRDefault="0082739E" w:rsidP="00A31608">
            <w:pPr>
              <w:keepNext/>
              <w:tabs>
                <w:tab w:val="left" w:pos="1005"/>
              </w:tabs>
              <w:jc w:val="both"/>
              <w:rPr>
                <w:rFonts w:ascii="Times New Roman" w:hAnsi="Times New Roman" w:cs="Times New Roman"/>
                <w:b/>
                <w:sz w:val="24"/>
                <w:szCs w:val="24"/>
              </w:rPr>
            </w:pPr>
            <w:r w:rsidRPr="00686018">
              <w:rPr>
                <w:rFonts w:ascii="Times New Roman" w:hAnsi="Times New Roman" w:cs="Times New Roman"/>
                <w:b/>
                <w:sz w:val="24"/>
                <w:szCs w:val="24"/>
              </w:rPr>
              <w:t>(</w:t>
            </w:r>
            <w:r w:rsidR="00DF46F4" w:rsidRPr="00686018">
              <w:rPr>
                <w:rFonts w:ascii="Times New Roman" w:hAnsi="Times New Roman" w:cs="Times New Roman"/>
                <w:b/>
                <w:sz w:val="24"/>
                <w:szCs w:val="24"/>
              </w:rPr>
              <w:fldChar w:fldCharType="begin"/>
            </w:r>
            <w:r w:rsidR="00DF46F4" w:rsidRPr="00686018">
              <w:rPr>
                <w:rFonts w:ascii="Times New Roman" w:hAnsi="Times New Roman" w:cs="Times New Roman"/>
                <w:b/>
                <w:sz w:val="24"/>
                <w:szCs w:val="24"/>
              </w:rPr>
              <w:instrText xml:space="preserve"> SEQ ( \* ARABIC </w:instrText>
            </w:r>
            <w:r w:rsidR="00DF46F4"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7</w:t>
            </w:r>
            <w:r w:rsidR="00DF46F4" w:rsidRPr="00686018">
              <w:rPr>
                <w:rFonts w:ascii="Times New Roman" w:hAnsi="Times New Roman" w:cs="Times New Roman"/>
                <w:b/>
                <w:sz w:val="24"/>
                <w:szCs w:val="24"/>
              </w:rPr>
              <w:fldChar w:fldCharType="end"/>
            </w:r>
            <w:r w:rsidR="00DF46F4" w:rsidRPr="00686018">
              <w:rPr>
                <w:rFonts w:ascii="Times New Roman" w:hAnsi="Times New Roman" w:cs="Times New Roman"/>
                <w:b/>
                <w:sz w:val="24"/>
                <w:szCs w:val="24"/>
              </w:rPr>
              <w:t>)</w:t>
            </w:r>
          </w:p>
        </w:tc>
      </w:tr>
    </w:tbl>
    <w:p w:rsidR="00DF46F4" w:rsidRPr="00686018" w:rsidRDefault="00DF46F4" w:rsidP="00A31608">
      <w:pPr>
        <w:jc w:val="both"/>
        <w:rPr>
          <w:rFonts w:ascii="Times New Roman" w:eastAsiaTheme="minorEastAsia" w:hAnsi="Times New Roman" w:cs="Times New Roman"/>
          <w:noProof/>
          <w:sz w:val="24"/>
          <w:szCs w:val="24"/>
          <w:lang w:eastAsia="es-EC"/>
        </w:rPr>
      </w:pPr>
      <w:r w:rsidRPr="00686018">
        <w:rPr>
          <w:rFonts w:ascii="Times New Roman" w:eastAsiaTheme="minorEastAsia" w:hAnsi="Times New Roman" w:cs="Times New Roman"/>
          <w:noProof/>
          <w:sz w:val="24"/>
          <w:szCs w:val="24"/>
          <w:lang w:eastAsia="es-EC"/>
        </w:rPr>
        <w:t>Donde:</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B: </w:t>
      </w:r>
      <w:r w:rsidRPr="00686018">
        <w:rPr>
          <w:rFonts w:ascii="Times New Roman" w:hAnsi="Times New Roman" w:cs="Times New Roman"/>
          <w:noProof/>
          <w:sz w:val="24"/>
          <w:szCs w:val="24"/>
          <w:lang w:eastAsia="es-EC"/>
        </w:rPr>
        <w:t>rendimiento de metano acumulado en el tiempo t (</w:t>
      </w:r>
      <w:r w:rsidR="00DD14D0">
        <w:rPr>
          <w:rFonts w:ascii="Times New Roman" w:hAnsi="Times New Roman" w:cs="Times New Roman"/>
          <w:noProof/>
          <w:sz w:val="24"/>
          <w:szCs w:val="24"/>
          <w:lang w:eastAsia="es-EC"/>
        </w:rPr>
        <w:t>mL</w:t>
      </w:r>
      <w:r w:rsidRPr="00686018">
        <w:rPr>
          <w:rFonts w:ascii="Times New Roman" w:hAnsi="Times New Roman" w:cs="Times New Roman"/>
          <w:noProof/>
          <w:sz w:val="24"/>
          <w:szCs w:val="24"/>
          <w:lang w:eastAsia="es-EC"/>
        </w:rPr>
        <w:t>/g VS)</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B</w:t>
      </w:r>
      <w:r w:rsidRPr="00686018">
        <w:rPr>
          <w:rFonts w:ascii="Times New Roman" w:hAnsi="Times New Roman" w:cs="Times New Roman"/>
          <w:b/>
          <w:noProof/>
          <w:sz w:val="24"/>
          <w:szCs w:val="24"/>
          <w:vertAlign w:val="subscript"/>
          <w:lang w:eastAsia="es-EC"/>
        </w:rPr>
        <w:t>0</w:t>
      </w:r>
      <w:r w:rsidRPr="00686018">
        <w:rPr>
          <w:rFonts w:ascii="Times New Roman" w:hAnsi="Times New Roman" w:cs="Times New Roman"/>
          <w:b/>
          <w:noProof/>
          <w:sz w:val="24"/>
          <w:szCs w:val="24"/>
          <w:lang w:eastAsia="es-EC"/>
        </w:rPr>
        <w:t xml:space="preserve">: </w:t>
      </w:r>
      <w:r w:rsidRPr="00686018">
        <w:rPr>
          <w:rFonts w:ascii="Times New Roman" w:hAnsi="Times New Roman" w:cs="Times New Roman"/>
          <w:noProof/>
          <w:sz w:val="24"/>
          <w:szCs w:val="24"/>
          <w:lang w:eastAsia="es-EC"/>
        </w:rPr>
        <w:t>rendimiento maximo de metano a partir del sustrato (</w:t>
      </w:r>
      <w:r w:rsidR="00DD14D0">
        <w:rPr>
          <w:rFonts w:ascii="Times New Roman" w:hAnsi="Times New Roman" w:cs="Times New Roman"/>
          <w:noProof/>
          <w:sz w:val="24"/>
          <w:szCs w:val="24"/>
          <w:lang w:eastAsia="es-EC"/>
        </w:rPr>
        <w:t>mL</w:t>
      </w:r>
      <w:r w:rsidRPr="00686018">
        <w:rPr>
          <w:rFonts w:ascii="Times New Roman" w:hAnsi="Times New Roman" w:cs="Times New Roman"/>
          <w:noProof/>
          <w:sz w:val="24"/>
          <w:szCs w:val="24"/>
          <w:lang w:eastAsia="es-EC"/>
        </w:rPr>
        <w:t>/g VS)</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t: </w:t>
      </w:r>
      <w:r w:rsidRPr="00686018">
        <w:rPr>
          <w:rFonts w:ascii="Times New Roman" w:hAnsi="Times New Roman" w:cs="Times New Roman"/>
          <w:noProof/>
          <w:sz w:val="24"/>
          <w:szCs w:val="24"/>
          <w:lang w:eastAsia="es-EC"/>
        </w:rPr>
        <w:t>Tiempo de digestion (d)</w:t>
      </w:r>
    </w:p>
    <w:p w:rsidR="00DF46F4" w:rsidRPr="00686018" w:rsidRDefault="00DF46F4" w:rsidP="00A31608">
      <w:pPr>
        <w:jc w:val="both"/>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n: </w:t>
      </w:r>
      <w:r w:rsidRPr="00686018">
        <w:rPr>
          <w:rFonts w:ascii="Times New Roman" w:hAnsi="Times New Roman" w:cs="Times New Roman"/>
          <w:noProof/>
          <w:sz w:val="24"/>
          <w:szCs w:val="24"/>
          <w:lang w:eastAsia="es-EC"/>
        </w:rPr>
        <w:t>orden del factor</w:t>
      </w:r>
    </w:p>
    <w:p w:rsidR="00D96D6E" w:rsidRDefault="00DF46F4" w:rsidP="00A31608">
      <w:pPr>
        <w:jc w:val="both"/>
        <w:rPr>
          <w:rFonts w:ascii="Times New Roman" w:hAnsi="Times New Roman" w:cs="Times New Roman"/>
          <w:noProof/>
          <w:sz w:val="24"/>
          <w:szCs w:val="24"/>
          <w:lang w:eastAsia="es-EC"/>
        </w:rPr>
      </w:pPr>
      <w:r w:rsidRPr="00686018">
        <w:rPr>
          <w:rFonts w:ascii="Times New Roman" w:hAnsi="Times New Roman" w:cs="Times New Roman"/>
          <w:b/>
          <w:noProof/>
          <w:sz w:val="24"/>
          <w:szCs w:val="24"/>
          <w:lang w:eastAsia="es-EC"/>
        </w:rPr>
        <w:t xml:space="preserve">k: </w:t>
      </w:r>
      <w:r w:rsidRPr="00686018">
        <w:rPr>
          <w:rFonts w:ascii="Times New Roman" w:hAnsi="Times New Roman" w:cs="Times New Roman"/>
          <w:noProof/>
          <w:sz w:val="24"/>
          <w:szCs w:val="24"/>
          <w:lang w:eastAsia="es-EC"/>
        </w:rPr>
        <w:t>razon constante</w:t>
      </w:r>
      <w:r w:rsidRPr="00686018">
        <w:rPr>
          <w:rFonts w:ascii="Times New Roman" w:hAnsi="Times New Roman" w:cs="Times New Roman"/>
          <w:b/>
          <w:noProof/>
          <w:sz w:val="24"/>
          <w:szCs w:val="24"/>
          <w:lang w:eastAsia="es-EC"/>
        </w:rPr>
        <w:t xml:space="preserve"> </w:t>
      </w:r>
      <w:r w:rsidRPr="00686018">
        <w:rPr>
          <w:rFonts w:ascii="Times New Roman" w:hAnsi="Times New Roman" w:cs="Times New Roman"/>
          <w:noProof/>
          <w:sz w:val="24"/>
          <w:szCs w:val="24"/>
          <w:lang w:eastAsia="es-EC"/>
        </w:rPr>
        <w:t>(1/d)</w:t>
      </w:r>
    </w:p>
    <w:p w:rsidR="00686018" w:rsidRDefault="00686018" w:rsidP="00A31608">
      <w:pPr>
        <w:jc w:val="both"/>
        <w:rPr>
          <w:rFonts w:ascii="Times New Roman" w:hAnsi="Times New Roman" w:cs="Times New Roman"/>
          <w:noProof/>
          <w:sz w:val="24"/>
          <w:szCs w:val="24"/>
          <w:lang w:eastAsia="es-EC"/>
        </w:rPr>
      </w:pPr>
    </w:p>
    <w:p w:rsidR="00686018" w:rsidRPr="00686018" w:rsidRDefault="00686018" w:rsidP="00A31608">
      <w:pPr>
        <w:jc w:val="both"/>
        <w:rPr>
          <w:rFonts w:ascii="Times New Roman" w:hAnsi="Times New Roman" w:cs="Times New Roman"/>
          <w:noProof/>
          <w:sz w:val="24"/>
          <w:szCs w:val="24"/>
          <w:lang w:eastAsia="es-EC"/>
        </w:rPr>
      </w:pPr>
    </w:p>
    <w:p w:rsidR="009455C3" w:rsidRPr="00686018" w:rsidRDefault="009455C3" w:rsidP="00A31608">
      <w:pPr>
        <w:jc w:val="both"/>
        <w:rPr>
          <w:rFonts w:ascii="Times New Roman" w:hAnsi="Times New Roman" w:cs="Times New Roman"/>
          <w:noProof/>
          <w:sz w:val="24"/>
          <w:szCs w:val="24"/>
          <w:lang w:eastAsia="es-EC"/>
        </w:rPr>
      </w:pPr>
    </w:p>
    <w:p w:rsidR="003538F6" w:rsidRPr="00686018" w:rsidRDefault="003538F6" w:rsidP="00A31608">
      <w:pPr>
        <w:pStyle w:val="Ttulo1"/>
        <w:jc w:val="both"/>
        <w:rPr>
          <w:rFonts w:cs="Times New Roman"/>
        </w:rPr>
      </w:pPr>
      <w:bookmarkStart w:id="151" w:name="_Toc534724623"/>
      <w:bookmarkStart w:id="152" w:name="_Toc534817235"/>
      <w:bookmarkStart w:id="153" w:name="_Toc534817418"/>
      <w:bookmarkStart w:id="154" w:name="_Toc534817725"/>
      <w:bookmarkStart w:id="155" w:name="_Toc535410428"/>
      <w:bookmarkStart w:id="156" w:name="_Toc535410494"/>
      <w:bookmarkStart w:id="157" w:name="_Toc9537811"/>
      <w:r w:rsidRPr="00686018">
        <w:rPr>
          <w:rFonts w:cs="Times New Roman"/>
        </w:rPr>
        <w:lastRenderedPageBreak/>
        <w:t>CAPITULO IV</w:t>
      </w:r>
      <w:bookmarkEnd w:id="151"/>
      <w:bookmarkEnd w:id="152"/>
      <w:bookmarkEnd w:id="153"/>
      <w:bookmarkEnd w:id="154"/>
      <w:bookmarkEnd w:id="155"/>
      <w:bookmarkEnd w:id="156"/>
      <w:bookmarkEnd w:id="157"/>
    </w:p>
    <w:p w:rsidR="00DF46F4" w:rsidRPr="00312D49" w:rsidRDefault="00891002" w:rsidP="00A31608">
      <w:pPr>
        <w:pStyle w:val="Ttulo2"/>
        <w:numPr>
          <w:ilvl w:val="0"/>
          <w:numId w:val="4"/>
        </w:numPr>
        <w:jc w:val="both"/>
        <w:rPr>
          <w:rFonts w:cs="Times New Roman"/>
        </w:rPr>
      </w:pPr>
      <w:bookmarkStart w:id="158" w:name="_Toc534817744"/>
      <w:bookmarkStart w:id="159" w:name="_Toc535410462"/>
      <w:bookmarkStart w:id="160" w:name="_Toc535410505"/>
      <w:bookmarkStart w:id="161" w:name="_Toc9537812"/>
      <w:r w:rsidRPr="00312D49">
        <w:rPr>
          <w:rFonts w:cs="Times New Roman"/>
        </w:rPr>
        <w:t>MARCO METODOLÓGICO</w:t>
      </w:r>
      <w:bookmarkEnd w:id="158"/>
      <w:bookmarkEnd w:id="159"/>
      <w:bookmarkEnd w:id="160"/>
      <w:bookmarkEnd w:id="161"/>
    </w:p>
    <w:p w:rsidR="00DF46F4" w:rsidRPr="00686018" w:rsidRDefault="00891002" w:rsidP="00A31608">
      <w:pPr>
        <w:pStyle w:val="Ttulo3"/>
        <w:numPr>
          <w:ilvl w:val="1"/>
          <w:numId w:val="4"/>
        </w:numPr>
        <w:ind w:left="431" w:hanging="431"/>
        <w:jc w:val="both"/>
        <w:rPr>
          <w:rFonts w:ascii="Times New Roman" w:hAnsi="Times New Roman" w:cs="Times New Roman"/>
          <w:i w:val="0"/>
        </w:rPr>
      </w:pPr>
      <w:bookmarkStart w:id="162" w:name="_Toc535410463"/>
      <w:bookmarkStart w:id="163" w:name="_Toc535410506"/>
      <w:bookmarkStart w:id="164" w:name="_Toc9537813"/>
      <w:r w:rsidRPr="00686018">
        <w:rPr>
          <w:rFonts w:ascii="Times New Roman" w:hAnsi="Times New Roman" w:cs="Times New Roman"/>
          <w:i w:val="0"/>
        </w:rPr>
        <w:t>UBICACIÓN DE LA INVESTIGACIÓN</w:t>
      </w:r>
      <w:bookmarkEnd w:id="162"/>
      <w:bookmarkEnd w:id="163"/>
      <w:bookmarkEnd w:id="164"/>
      <w:r w:rsidRPr="00686018">
        <w:rPr>
          <w:rFonts w:ascii="Times New Roman" w:hAnsi="Times New Roman" w:cs="Times New Roman"/>
          <w:i w:val="0"/>
        </w:rPr>
        <w:t xml:space="preserve"> </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65" w:name="_Toc535410464"/>
      <w:bookmarkStart w:id="166" w:name="_Toc9537814"/>
      <w:r w:rsidRPr="00686018">
        <w:rPr>
          <w:rFonts w:ascii="Times New Roman" w:hAnsi="Times New Roman" w:cs="Times New Roman"/>
          <w:i w:val="0"/>
          <w:u w:val="none"/>
        </w:rPr>
        <w:t>Localización de la investigación.</w:t>
      </w:r>
      <w:bookmarkEnd w:id="165"/>
      <w:bookmarkEnd w:id="166"/>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El trabajo de investi</w:t>
      </w:r>
      <w:r w:rsidR="00712A8B" w:rsidRPr="00686018">
        <w:rPr>
          <w:rFonts w:ascii="Times New Roman" w:hAnsi="Times New Roman" w:cs="Times New Roman"/>
          <w:sz w:val="24"/>
        </w:rPr>
        <w:t>gación propuesto se desarrolló</w:t>
      </w:r>
      <w:r w:rsidRPr="00686018">
        <w:rPr>
          <w:rFonts w:ascii="Times New Roman" w:hAnsi="Times New Roman" w:cs="Times New Roman"/>
          <w:sz w:val="24"/>
        </w:rPr>
        <w:t xml:space="preserve"> en la Universidad Estatal de Bolívar, Facultad de Ciencias Agropecuarias, Carrera de Ingeniería Agroindustrial, en las instalaciones del Laboratorio de Investigación, según la localización que se detalla a continuación:</w:t>
      </w:r>
    </w:p>
    <w:p w:rsidR="00DF46F4" w:rsidRPr="00686018" w:rsidRDefault="00DF46F4" w:rsidP="00A31608">
      <w:pPr>
        <w:pStyle w:val="Descripcin"/>
        <w:jc w:val="both"/>
        <w:rPr>
          <w:rFonts w:ascii="Times New Roman" w:hAnsi="Times New Roman" w:cs="Times New Roman"/>
          <w:i w:val="0"/>
          <w:color w:val="auto"/>
        </w:rPr>
      </w:pPr>
      <w:bookmarkStart w:id="167" w:name="_Toc9537904"/>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1</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Localización de la investigación propuesta</w:t>
      </w:r>
      <w:bookmarkEnd w:id="167"/>
    </w:p>
    <w:tbl>
      <w:tblPr>
        <w:tblStyle w:val="TableNormal"/>
        <w:tblW w:w="5000" w:type="pct"/>
        <w:tblLook w:val="01E0" w:firstRow="1" w:lastRow="1" w:firstColumn="1" w:lastColumn="1" w:noHBand="0" w:noVBand="0"/>
      </w:tblPr>
      <w:tblGrid>
        <w:gridCol w:w="3803"/>
        <w:gridCol w:w="4134"/>
      </w:tblGrid>
      <w:tr w:rsidR="00DF46F4" w:rsidRPr="00686018" w:rsidTr="00DF46F4">
        <w:trPr>
          <w:trHeight w:val="413"/>
        </w:trPr>
        <w:tc>
          <w:tcPr>
            <w:tcW w:w="2396" w:type="pct"/>
            <w:tcBorders>
              <w:top w:val="single" w:sz="4" w:space="0" w:color="auto"/>
              <w:bottom w:val="single" w:sz="4" w:space="0" w:color="auto"/>
            </w:tcBorders>
          </w:tcPr>
          <w:p w:rsidR="00DF46F4" w:rsidRPr="00686018" w:rsidRDefault="00DF46F4" w:rsidP="00A31608">
            <w:pPr>
              <w:pStyle w:val="TableParagraph"/>
              <w:spacing w:before="1"/>
              <w:ind w:firstLine="142"/>
              <w:jc w:val="both"/>
              <w:rPr>
                <w:b/>
                <w:sz w:val="18"/>
                <w:lang w:val="es-EC"/>
              </w:rPr>
            </w:pPr>
            <w:r w:rsidRPr="00686018">
              <w:rPr>
                <w:b/>
                <w:sz w:val="18"/>
                <w:lang w:val="es-EC"/>
              </w:rPr>
              <w:t>UBICACIÓN</w:t>
            </w:r>
          </w:p>
        </w:tc>
        <w:tc>
          <w:tcPr>
            <w:tcW w:w="2604" w:type="pct"/>
            <w:tcBorders>
              <w:top w:val="single" w:sz="4" w:space="0" w:color="auto"/>
              <w:bottom w:val="single" w:sz="4" w:space="0" w:color="auto"/>
            </w:tcBorders>
          </w:tcPr>
          <w:p w:rsidR="00DF46F4" w:rsidRPr="00686018" w:rsidRDefault="00DF46F4" w:rsidP="00A31608">
            <w:pPr>
              <w:pStyle w:val="TableParagraph"/>
              <w:spacing w:before="1"/>
              <w:ind w:firstLine="142"/>
              <w:jc w:val="both"/>
              <w:rPr>
                <w:b/>
                <w:sz w:val="18"/>
                <w:lang w:val="es-EC"/>
              </w:rPr>
            </w:pPr>
            <w:r w:rsidRPr="00686018">
              <w:rPr>
                <w:b/>
                <w:sz w:val="18"/>
                <w:lang w:val="es-EC"/>
              </w:rPr>
              <w:t>LOCALIDAD</w:t>
            </w:r>
          </w:p>
        </w:tc>
      </w:tr>
      <w:tr w:rsidR="00DF46F4" w:rsidRPr="00686018" w:rsidTr="00DF46F4">
        <w:trPr>
          <w:trHeight w:val="414"/>
        </w:trPr>
        <w:tc>
          <w:tcPr>
            <w:tcW w:w="2396" w:type="pct"/>
            <w:tcBorders>
              <w:top w:val="single" w:sz="4" w:space="0" w:color="auto"/>
            </w:tcBorders>
          </w:tcPr>
          <w:p w:rsidR="00DF46F4" w:rsidRPr="00686018" w:rsidRDefault="00DF46F4" w:rsidP="00A31608">
            <w:pPr>
              <w:pStyle w:val="TableParagraph"/>
              <w:spacing w:line="275" w:lineRule="exact"/>
              <w:ind w:left="55" w:firstLine="142"/>
              <w:jc w:val="both"/>
              <w:rPr>
                <w:sz w:val="18"/>
                <w:lang w:val="es-EC"/>
              </w:rPr>
            </w:pPr>
            <w:r w:rsidRPr="00686018">
              <w:rPr>
                <w:sz w:val="18"/>
                <w:lang w:val="es-EC"/>
              </w:rPr>
              <w:t>Provincia</w:t>
            </w:r>
          </w:p>
        </w:tc>
        <w:tc>
          <w:tcPr>
            <w:tcW w:w="2604" w:type="pct"/>
            <w:tcBorders>
              <w:top w:val="single" w:sz="4" w:space="0" w:color="auto"/>
            </w:tcBorders>
          </w:tcPr>
          <w:p w:rsidR="00DF46F4" w:rsidRPr="00686018" w:rsidRDefault="00DF46F4" w:rsidP="00A31608">
            <w:pPr>
              <w:pStyle w:val="TableParagraph"/>
              <w:spacing w:line="275" w:lineRule="exact"/>
              <w:ind w:left="57" w:firstLine="142"/>
              <w:jc w:val="both"/>
              <w:rPr>
                <w:sz w:val="18"/>
                <w:lang w:val="es-EC"/>
              </w:rPr>
            </w:pPr>
            <w:r w:rsidRPr="00686018">
              <w:rPr>
                <w:sz w:val="18"/>
                <w:lang w:val="es-EC"/>
              </w:rPr>
              <w:t>Bolívar</w:t>
            </w:r>
          </w:p>
        </w:tc>
      </w:tr>
      <w:tr w:rsidR="00DF46F4" w:rsidRPr="00686018" w:rsidTr="00DF46F4">
        <w:trPr>
          <w:trHeight w:val="413"/>
        </w:trPr>
        <w:tc>
          <w:tcPr>
            <w:tcW w:w="2396" w:type="pct"/>
          </w:tcPr>
          <w:p w:rsidR="00DF46F4" w:rsidRPr="00686018" w:rsidRDefault="00DF46F4" w:rsidP="00A31608">
            <w:pPr>
              <w:pStyle w:val="TableParagraph"/>
              <w:spacing w:line="275" w:lineRule="exact"/>
              <w:ind w:left="55" w:firstLine="142"/>
              <w:jc w:val="both"/>
              <w:rPr>
                <w:sz w:val="18"/>
                <w:lang w:val="es-EC"/>
              </w:rPr>
            </w:pPr>
            <w:r w:rsidRPr="00686018">
              <w:rPr>
                <w:sz w:val="18"/>
                <w:lang w:val="es-EC"/>
              </w:rPr>
              <w:t>Cantón</w:t>
            </w:r>
          </w:p>
        </w:tc>
        <w:tc>
          <w:tcPr>
            <w:tcW w:w="2604" w:type="pct"/>
          </w:tcPr>
          <w:p w:rsidR="00DF46F4" w:rsidRPr="00686018" w:rsidRDefault="00DF46F4" w:rsidP="00A31608">
            <w:pPr>
              <w:pStyle w:val="TableParagraph"/>
              <w:spacing w:line="275" w:lineRule="exact"/>
              <w:ind w:left="57" w:firstLine="142"/>
              <w:jc w:val="both"/>
              <w:rPr>
                <w:sz w:val="18"/>
                <w:lang w:val="es-EC"/>
              </w:rPr>
            </w:pPr>
            <w:r w:rsidRPr="00686018">
              <w:rPr>
                <w:sz w:val="18"/>
                <w:lang w:val="es-EC"/>
              </w:rPr>
              <w:t>Guaranda</w:t>
            </w:r>
          </w:p>
        </w:tc>
      </w:tr>
      <w:tr w:rsidR="00DF46F4" w:rsidRPr="00686018" w:rsidTr="00DF46F4">
        <w:trPr>
          <w:trHeight w:val="414"/>
        </w:trPr>
        <w:tc>
          <w:tcPr>
            <w:tcW w:w="2396" w:type="pct"/>
          </w:tcPr>
          <w:p w:rsidR="00DF46F4" w:rsidRPr="00686018" w:rsidRDefault="00DF46F4" w:rsidP="00A31608">
            <w:pPr>
              <w:pStyle w:val="TableParagraph"/>
              <w:spacing w:line="271" w:lineRule="exact"/>
              <w:ind w:left="55" w:firstLine="142"/>
              <w:jc w:val="both"/>
              <w:rPr>
                <w:sz w:val="18"/>
                <w:lang w:val="es-EC"/>
              </w:rPr>
            </w:pPr>
            <w:r w:rsidRPr="00686018">
              <w:rPr>
                <w:sz w:val="18"/>
                <w:lang w:val="es-EC"/>
              </w:rPr>
              <w:t>Sector</w:t>
            </w:r>
          </w:p>
        </w:tc>
        <w:tc>
          <w:tcPr>
            <w:tcW w:w="2604" w:type="pct"/>
          </w:tcPr>
          <w:p w:rsidR="00DF46F4" w:rsidRPr="00686018" w:rsidRDefault="00DF46F4" w:rsidP="00A31608">
            <w:pPr>
              <w:pStyle w:val="TableParagraph"/>
              <w:spacing w:line="271" w:lineRule="exact"/>
              <w:ind w:left="57" w:firstLine="142"/>
              <w:jc w:val="both"/>
              <w:rPr>
                <w:sz w:val="18"/>
                <w:lang w:val="es-EC"/>
              </w:rPr>
            </w:pPr>
            <w:r w:rsidRPr="00686018">
              <w:rPr>
                <w:sz w:val="18"/>
                <w:lang w:val="es-EC"/>
              </w:rPr>
              <w:t>Laguacoto II</w:t>
            </w:r>
          </w:p>
        </w:tc>
      </w:tr>
      <w:tr w:rsidR="00DF46F4" w:rsidRPr="00686018" w:rsidTr="00DF46F4">
        <w:trPr>
          <w:trHeight w:val="413"/>
        </w:trPr>
        <w:tc>
          <w:tcPr>
            <w:tcW w:w="2396" w:type="pct"/>
            <w:tcBorders>
              <w:bottom w:val="single" w:sz="4" w:space="0" w:color="auto"/>
            </w:tcBorders>
          </w:tcPr>
          <w:p w:rsidR="00DF46F4" w:rsidRPr="00686018" w:rsidRDefault="00DF46F4" w:rsidP="00A31608">
            <w:pPr>
              <w:pStyle w:val="TableParagraph"/>
              <w:spacing w:line="271" w:lineRule="exact"/>
              <w:ind w:left="55" w:firstLine="142"/>
              <w:jc w:val="both"/>
              <w:rPr>
                <w:sz w:val="18"/>
                <w:lang w:val="es-EC"/>
              </w:rPr>
            </w:pPr>
            <w:r w:rsidRPr="00686018">
              <w:rPr>
                <w:sz w:val="18"/>
                <w:lang w:val="es-EC"/>
              </w:rPr>
              <w:t>Dirección</w:t>
            </w:r>
          </w:p>
        </w:tc>
        <w:tc>
          <w:tcPr>
            <w:tcW w:w="2604" w:type="pct"/>
            <w:tcBorders>
              <w:bottom w:val="single" w:sz="4" w:space="0" w:color="auto"/>
            </w:tcBorders>
          </w:tcPr>
          <w:p w:rsidR="00DF46F4" w:rsidRPr="00686018" w:rsidRDefault="00DF46F4" w:rsidP="00A31608">
            <w:pPr>
              <w:pStyle w:val="TableParagraph"/>
              <w:spacing w:line="271" w:lineRule="exact"/>
              <w:ind w:left="57" w:firstLine="142"/>
              <w:jc w:val="both"/>
              <w:rPr>
                <w:sz w:val="18"/>
                <w:lang w:val="es-EC"/>
              </w:rPr>
            </w:pPr>
            <w:r w:rsidRPr="00686018">
              <w:rPr>
                <w:sz w:val="18"/>
                <w:lang w:val="es-EC"/>
              </w:rPr>
              <w:t>Vía Guaranda – San Simón Km 1 ½</w:t>
            </w:r>
          </w:p>
        </w:tc>
      </w:tr>
    </w:tbl>
    <w:p w:rsidR="00DF46F4" w:rsidRPr="00686018" w:rsidRDefault="00DF46F4"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68" w:name="_Toc535410465"/>
      <w:bookmarkStart w:id="169" w:name="_Toc9537815"/>
      <w:r w:rsidRPr="00686018">
        <w:rPr>
          <w:rFonts w:ascii="Times New Roman" w:hAnsi="Times New Roman" w:cs="Times New Roman"/>
          <w:i w:val="0"/>
          <w:u w:val="none"/>
        </w:rPr>
        <w:t>Situación geográfica y climática.</w:t>
      </w:r>
      <w:bookmarkEnd w:id="168"/>
      <w:bookmarkEnd w:id="169"/>
    </w:p>
    <w:p w:rsidR="00DF46F4" w:rsidRPr="00686018" w:rsidRDefault="00DF46F4" w:rsidP="00A31608">
      <w:pPr>
        <w:pStyle w:val="Descripcin"/>
        <w:jc w:val="both"/>
        <w:rPr>
          <w:rFonts w:ascii="Times New Roman" w:hAnsi="Times New Roman" w:cs="Times New Roman"/>
          <w:i w:val="0"/>
          <w:color w:val="auto"/>
        </w:rPr>
      </w:pPr>
      <w:bookmarkStart w:id="170" w:name="_Toc9537905"/>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2</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Parámetros de la situación geográfica y climática del lugar de la investigación</w:t>
      </w:r>
      <w:bookmarkEnd w:id="170"/>
    </w:p>
    <w:tbl>
      <w:tblPr>
        <w:tblStyle w:val="TableNormal"/>
        <w:tblW w:w="5000" w:type="pct"/>
        <w:jc w:val="center"/>
        <w:tblLook w:val="01E0" w:firstRow="1" w:lastRow="1" w:firstColumn="1" w:lastColumn="1" w:noHBand="0" w:noVBand="0"/>
      </w:tblPr>
      <w:tblGrid>
        <w:gridCol w:w="4986"/>
        <w:gridCol w:w="2951"/>
      </w:tblGrid>
      <w:tr w:rsidR="00DF46F4" w:rsidRPr="00686018" w:rsidTr="00DF46F4">
        <w:trPr>
          <w:trHeight w:val="413"/>
          <w:jc w:val="center"/>
        </w:trPr>
        <w:tc>
          <w:tcPr>
            <w:tcW w:w="3141" w:type="pct"/>
            <w:tcBorders>
              <w:top w:val="single" w:sz="4" w:space="0" w:color="auto"/>
              <w:bottom w:val="single" w:sz="4" w:space="0" w:color="auto"/>
            </w:tcBorders>
          </w:tcPr>
          <w:p w:rsidR="00DF46F4" w:rsidRPr="00686018" w:rsidRDefault="00DF46F4" w:rsidP="00A31608">
            <w:pPr>
              <w:pStyle w:val="TableParagraph"/>
              <w:spacing w:before="1"/>
              <w:ind w:firstLine="142"/>
              <w:jc w:val="both"/>
              <w:rPr>
                <w:b/>
                <w:sz w:val="18"/>
                <w:lang w:val="es-EC"/>
              </w:rPr>
            </w:pPr>
            <w:r w:rsidRPr="00686018">
              <w:rPr>
                <w:b/>
                <w:sz w:val="18"/>
                <w:lang w:val="es-EC"/>
              </w:rPr>
              <w:t>PARAMETROS</w:t>
            </w:r>
          </w:p>
        </w:tc>
        <w:tc>
          <w:tcPr>
            <w:tcW w:w="1859" w:type="pct"/>
            <w:tcBorders>
              <w:top w:val="single" w:sz="4" w:space="0" w:color="auto"/>
              <w:bottom w:val="single" w:sz="4" w:space="0" w:color="auto"/>
            </w:tcBorders>
            <w:vAlign w:val="center"/>
          </w:tcPr>
          <w:p w:rsidR="00DF46F4" w:rsidRPr="00686018" w:rsidRDefault="00DF46F4" w:rsidP="00A31608">
            <w:pPr>
              <w:pStyle w:val="TableParagraph"/>
              <w:spacing w:before="1"/>
              <w:ind w:firstLine="142"/>
              <w:jc w:val="both"/>
              <w:rPr>
                <w:b/>
                <w:sz w:val="18"/>
                <w:lang w:val="es-EC"/>
              </w:rPr>
            </w:pPr>
            <w:r w:rsidRPr="00686018">
              <w:rPr>
                <w:b/>
                <w:sz w:val="18"/>
                <w:lang w:val="es-EC"/>
              </w:rPr>
              <w:t>VALOR</w:t>
            </w:r>
          </w:p>
        </w:tc>
      </w:tr>
      <w:tr w:rsidR="00DF46F4" w:rsidRPr="00686018" w:rsidTr="00DF46F4">
        <w:trPr>
          <w:trHeight w:val="446"/>
          <w:jc w:val="center"/>
        </w:trPr>
        <w:tc>
          <w:tcPr>
            <w:tcW w:w="3141" w:type="pct"/>
            <w:tcBorders>
              <w:top w:val="single" w:sz="4" w:space="0" w:color="auto"/>
            </w:tcBorders>
            <w:vAlign w:val="center"/>
          </w:tcPr>
          <w:p w:rsidR="00DF46F4" w:rsidRPr="00686018" w:rsidRDefault="00DF46F4" w:rsidP="00A31608">
            <w:pPr>
              <w:pStyle w:val="TableParagraph"/>
              <w:spacing w:line="271" w:lineRule="exact"/>
              <w:ind w:left="55" w:firstLine="142"/>
              <w:jc w:val="both"/>
              <w:rPr>
                <w:sz w:val="18"/>
                <w:lang w:val="es-EC"/>
              </w:rPr>
            </w:pPr>
            <w:r w:rsidRPr="00686018">
              <w:rPr>
                <w:sz w:val="18"/>
                <w:lang w:val="es-EC"/>
              </w:rPr>
              <w:t>Altitud</w:t>
            </w:r>
          </w:p>
        </w:tc>
        <w:tc>
          <w:tcPr>
            <w:tcW w:w="1859" w:type="pct"/>
            <w:tcBorders>
              <w:top w:val="single" w:sz="4" w:space="0" w:color="auto"/>
            </w:tcBorders>
          </w:tcPr>
          <w:p w:rsidR="00DF46F4" w:rsidRPr="00686018" w:rsidRDefault="00DF46F4" w:rsidP="00A31608">
            <w:pPr>
              <w:pStyle w:val="TableParagraph"/>
              <w:spacing w:line="271" w:lineRule="exact"/>
              <w:ind w:left="57" w:firstLine="142"/>
              <w:jc w:val="both"/>
              <w:rPr>
                <w:sz w:val="18"/>
                <w:lang w:val="es-EC"/>
              </w:rPr>
            </w:pPr>
            <w:r w:rsidRPr="00686018">
              <w:rPr>
                <w:sz w:val="18"/>
                <w:lang w:val="es-EC"/>
              </w:rPr>
              <w:t>2800 msnm</w:t>
            </w:r>
          </w:p>
        </w:tc>
      </w:tr>
      <w:tr w:rsidR="00DF46F4" w:rsidRPr="00686018" w:rsidTr="00DF46F4">
        <w:trPr>
          <w:trHeight w:val="413"/>
          <w:jc w:val="center"/>
        </w:trPr>
        <w:tc>
          <w:tcPr>
            <w:tcW w:w="3141" w:type="pct"/>
            <w:vAlign w:val="center"/>
          </w:tcPr>
          <w:p w:rsidR="00DF46F4" w:rsidRPr="00686018" w:rsidRDefault="00DF46F4" w:rsidP="00A31608">
            <w:pPr>
              <w:pStyle w:val="TableParagraph"/>
              <w:spacing w:line="271" w:lineRule="exact"/>
              <w:ind w:left="55" w:firstLine="142"/>
              <w:jc w:val="both"/>
              <w:rPr>
                <w:sz w:val="18"/>
                <w:lang w:val="es-EC"/>
              </w:rPr>
            </w:pPr>
            <w:r w:rsidRPr="00686018">
              <w:rPr>
                <w:sz w:val="18"/>
                <w:lang w:val="es-EC"/>
              </w:rPr>
              <w:t>Latitud</w:t>
            </w:r>
          </w:p>
        </w:tc>
        <w:tc>
          <w:tcPr>
            <w:tcW w:w="1859" w:type="pct"/>
          </w:tcPr>
          <w:p w:rsidR="00DF46F4" w:rsidRPr="00686018" w:rsidRDefault="00DF46F4" w:rsidP="00A31608">
            <w:pPr>
              <w:pStyle w:val="TableParagraph"/>
              <w:spacing w:line="271" w:lineRule="exact"/>
              <w:ind w:left="57" w:firstLine="142"/>
              <w:jc w:val="both"/>
              <w:rPr>
                <w:sz w:val="18"/>
                <w:lang w:val="es-EC"/>
              </w:rPr>
            </w:pPr>
            <w:r w:rsidRPr="00686018">
              <w:rPr>
                <w:sz w:val="18"/>
                <w:lang w:val="es-EC"/>
              </w:rPr>
              <w:t>01°34'15" sur</w:t>
            </w:r>
          </w:p>
        </w:tc>
      </w:tr>
      <w:tr w:rsidR="00DF46F4" w:rsidRPr="00686018" w:rsidTr="00DF46F4">
        <w:trPr>
          <w:trHeight w:val="458"/>
          <w:jc w:val="center"/>
        </w:trPr>
        <w:tc>
          <w:tcPr>
            <w:tcW w:w="3141" w:type="pct"/>
            <w:vAlign w:val="center"/>
          </w:tcPr>
          <w:p w:rsidR="00DF46F4" w:rsidRPr="00686018" w:rsidRDefault="00DF46F4" w:rsidP="00A31608">
            <w:pPr>
              <w:pStyle w:val="TableParagraph"/>
              <w:spacing w:line="271" w:lineRule="exact"/>
              <w:ind w:left="55" w:firstLine="142"/>
              <w:jc w:val="both"/>
              <w:rPr>
                <w:sz w:val="18"/>
                <w:lang w:val="es-EC"/>
              </w:rPr>
            </w:pPr>
            <w:r w:rsidRPr="00686018">
              <w:rPr>
                <w:sz w:val="18"/>
                <w:lang w:val="es-EC"/>
              </w:rPr>
              <w:t>Longitud</w:t>
            </w:r>
          </w:p>
        </w:tc>
        <w:tc>
          <w:tcPr>
            <w:tcW w:w="1859" w:type="pct"/>
          </w:tcPr>
          <w:p w:rsidR="00DF46F4" w:rsidRPr="00686018" w:rsidRDefault="00DF46F4" w:rsidP="00A31608">
            <w:pPr>
              <w:pStyle w:val="TableParagraph"/>
              <w:spacing w:line="271" w:lineRule="exact"/>
              <w:ind w:left="57" w:firstLine="142"/>
              <w:jc w:val="both"/>
              <w:rPr>
                <w:sz w:val="18"/>
                <w:lang w:val="es-EC"/>
              </w:rPr>
            </w:pPr>
            <w:r w:rsidRPr="00686018">
              <w:rPr>
                <w:sz w:val="18"/>
                <w:lang w:val="es-EC"/>
              </w:rPr>
              <w:t>79°0'02"oeste</w:t>
            </w:r>
          </w:p>
        </w:tc>
      </w:tr>
      <w:tr w:rsidR="00DF46F4" w:rsidRPr="00686018" w:rsidTr="00DF46F4">
        <w:trPr>
          <w:trHeight w:val="414"/>
          <w:jc w:val="center"/>
        </w:trPr>
        <w:tc>
          <w:tcPr>
            <w:tcW w:w="3141" w:type="pct"/>
            <w:vAlign w:val="center"/>
          </w:tcPr>
          <w:p w:rsidR="00DF46F4" w:rsidRPr="00686018" w:rsidRDefault="00DF46F4" w:rsidP="00A31608">
            <w:pPr>
              <w:pStyle w:val="TableParagraph"/>
              <w:spacing w:line="275" w:lineRule="exact"/>
              <w:ind w:left="55" w:firstLine="142"/>
              <w:jc w:val="both"/>
              <w:rPr>
                <w:sz w:val="18"/>
                <w:lang w:val="es-EC"/>
              </w:rPr>
            </w:pPr>
            <w:r w:rsidRPr="00686018">
              <w:rPr>
                <w:sz w:val="18"/>
                <w:lang w:val="es-EC"/>
              </w:rPr>
              <w:t>Temperatura mínima</w:t>
            </w:r>
          </w:p>
        </w:tc>
        <w:tc>
          <w:tcPr>
            <w:tcW w:w="1859" w:type="pct"/>
          </w:tcPr>
          <w:p w:rsidR="00DF46F4" w:rsidRPr="00686018" w:rsidRDefault="00DF46F4" w:rsidP="00A31608">
            <w:pPr>
              <w:pStyle w:val="TableParagraph"/>
              <w:spacing w:line="275" w:lineRule="exact"/>
              <w:ind w:left="57" w:firstLine="142"/>
              <w:jc w:val="both"/>
              <w:rPr>
                <w:sz w:val="18"/>
                <w:lang w:val="es-EC"/>
              </w:rPr>
            </w:pPr>
            <w:r w:rsidRPr="00686018">
              <w:rPr>
                <w:sz w:val="18"/>
                <w:lang w:val="es-EC"/>
              </w:rPr>
              <w:t>8°C</w:t>
            </w:r>
          </w:p>
        </w:tc>
      </w:tr>
      <w:tr w:rsidR="00DF46F4" w:rsidRPr="00686018" w:rsidTr="00DF46F4">
        <w:trPr>
          <w:trHeight w:val="545"/>
          <w:jc w:val="center"/>
        </w:trPr>
        <w:tc>
          <w:tcPr>
            <w:tcW w:w="3141" w:type="pct"/>
            <w:vAlign w:val="center"/>
          </w:tcPr>
          <w:p w:rsidR="00DF46F4" w:rsidRPr="00686018" w:rsidRDefault="00DF46F4" w:rsidP="00A31608">
            <w:pPr>
              <w:pStyle w:val="TableParagraph"/>
              <w:spacing w:line="275" w:lineRule="exact"/>
              <w:ind w:left="55" w:firstLine="142"/>
              <w:jc w:val="both"/>
              <w:rPr>
                <w:sz w:val="18"/>
                <w:lang w:val="es-EC"/>
              </w:rPr>
            </w:pPr>
            <w:r w:rsidRPr="00686018">
              <w:rPr>
                <w:sz w:val="18"/>
                <w:lang w:val="es-EC"/>
              </w:rPr>
              <w:t>Temperatura media anual</w:t>
            </w:r>
          </w:p>
        </w:tc>
        <w:tc>
          <w:tcPr>
            <w:tcW w:w="1859" w:type="pct"/>
          </w:tcPr>
          <w:p w:rsidR="00DF46F4" w:rsidRPr="00686018" w:rsidRDefault="00DF46F4" w:rsidP="00A31608">
            <w:pPr>
              <w:pStyle w:val="TableParagraph"/>
              <w:spacing w:line="275" w:lineRule="exact"/>
              <w:ind w:left="57" w:firstLine="142"/>
              <w:jc w:val="both"/>
              <w:rPr>
                <w:sz w:val="18"/>
                <w:lang w:val="es-EC"/>
              </w:rPr>
            </w:pPr>
            <w:r w:rsidRPr="00686018">
              <w:rPr>
                <w:sz w:val="18"/>
                <w:lang w:val="es-EC"/>
              </w:rPr>
              <w:t>13°C</w:t>
            </w:r>
          </w:p>
        </w:tc>
      </w:tr>
      <w:tr w:rsidR="00DF46F4" w:rsidRPr="00686018" w:rsidTr="00DF46F4">
        <w:trPr>
          <w:trHeight w:val="425"/>
          <w:jc w:val="center"/>
        </w:trPr>
        <w:tc>
          <w:tcPr>
            <w:tcW w:w="3141" w:type="pct"/>
            <w:vAlign w:val="center"/>
          </w:tcPr>
          <w:p w:rsidR="00DF46F4" w:rsidRPr="00686018" w:rsidRDefault="00DF46F4" w:rsidP="00A31608">
            <w:pPr>
              <w:pStyle w:val="TableParagraph"/>
              <w:spacing w:line="275" w:lineRule="exact"/>
              <w:ind w:left="55" w:firstLine="142"/>
              <w:jc w:val="both"/>
              <w:rPr>
                <w:sz w:val="18"/>
                <w:lang w:val="es-EC"/>
              </w:rPr>
            </w:pPr>
            <w:r w:rsidRPr="00686018">
              <w:rPr>
                <w:sz w:val="18"/>
                <w:lang w:val="es-EC"/>
              </w:rPr>
              <w:t>Temperatura máxima</w:t>
            </w:r>
          </w:p>
        </w:tc>
        <w:tc>
          <w:tcPr>
            <w:tcW w:w="1859" w:type="pct"/>
          </w:tcPr>
          <w:p w:rsidR="00DF46F4" w:rsidRPr="00686018" w:rsidRDefault="00DF46F4" w:rsidP="00A31608">
            <w:pPr>
              <w:pStyle w:val="TableParagraph"/>
              <w:spacing w:line="275" w:lineRule="exact"/>
              <w:ind w:left="57" w:firstLine="142"/>
              <w:jc w:val="both"/>
              <w:rPr>
                <w:sz w:val="18"/>
                <w:lang w:val="es-EC"/>
              </w:rPr>
            </w:pPr>
            <w:r w:rsidRPr="00686018">
              <w:rPr>
                <w:sz w:val="18"/>
                <w:lang w:val="es-EC"/>
              </w:rPr>
              <w:t>18°C</w:t>
            </w:r>
          </w:p>
        </w:tc>
      </w:tr>
      <w:tr w:rsidR="00DF46F4" w:rsidRPr="00686018" w:rsidTr="00DF46F4">
        <w:trPr>
          <w:trHeight w:val="410"/>
          <w:jc w:val="center"/>
        </w:trPr>
        <w:tc>
          <w:tcPr>
            <w:tcW w:w="3141" w:type="pct"/>
            <w:tcBorders>
              <w:bottom w:val="single" w:sz="4" w:space="0" w:color="auto"/>
            </w:tcBorders>
            <w:vAlign w:val="center"/>
          </w:tcPr>
          <w:p w:rsidR="00DF46F4" w:rsidRPr="00686018" w:rsidRDefault="00DF46F4" w:rsidP="00A31608">
            <w:pPr>
              <w:pStyle w:val="TableParagraph"/>
              <w:spacing w:line="271" w:lineRule="exact"/>
              <w:ind w:left="55" w:firstLine="142"/>
              <w:jc w:val="both"/>
              <w:rPr>
                <w:sz w:val="18"/>
                <w:lang w:val="es-EC"/>
              </w:rPr>
            </w:pPr>
            <w:r w:rsidRPr="00686018">
              <w:rPr>
                <w:sz w:val="18"/>
                <w:lang w:val="es-EC"/>
              </w:rPr>
              <w:t>Humedad</w:t>
            </w:r>
          </w:p>
        </w:tc>
        <w:tc>
          <w:tcPr>
            <w:tcW w:w="1859" w:type="pct"/>
            <w:tcBorders>
              <w:bottom w:val="single" w:sz="4" w:space="0" w:color="auto"/>
            </w:tcBorders>
          </w:tcPr>
          <w:p w:rsidR="00DF46F4" w:rsidRPr="00686018" w:rsidRDefault="00DF46F4" w:rsidP="00A31608">
            <w:pPr>
              <w:pStyle w:val="TableParagraph"/>
              <w:spacing w:line="271" w:lineRule="exact"/>
              <w:ind w:left="57" w:firstLine="142"/>
              <w:jc w:val="both"/>
              <w:rPr>
                <w:sz w:val="18"/>
                <w:lang w:val="es-EC"/>
              </w:rPr>
            </w:pPr>
            <w:r w:rsidRPr="00686018">
              <w:rPr>
                <w:sz w:val="18"/>
                <w:lang w:val="es-EC"/>
              </w:rPr>
              <w:t>75%</w:t>
            </w:r>
          </w:p>
        </w:tc>
      </w:tr>
    </w:tbl>
    <w:p w:rsidR="00DF46F4" w:rsidRPr="00686018" w:rsidRDefault="00DF46F4" w:rsidP="00A31608">
      <w:pPr>
        <w:jc w:val="both"/>
        <w:rPr>
          <w:rFonts w:ascii="Times New Roman" w:hAnsi="Times New Roman" w:cs="Times New Roman"/>
        </w:rPr>
      </w:pPr>
      <w:r w:rsidRPr="00686018">
        <w:rPr>
          <w:rFonts w:ascii="Times New Roman" w:hAnsi="Times New Roman" w:cs="Times New Roman"/>
          <w:b/>
          <w:sz w:val="18"/>
        </w:rPr>
        <w:t xml:space="preserve">Fuente: </w:t>
      </w:r>
      <w:r w:rsidRPr="00686018">
        <w:rPr>
          <w:rFonts w:ascii="Times New Roman" w:hAnsi="Times New Roman" w:cs="Times New Roman"/>
          <w:sz w:val="18"/>
        </w:rPr>
        <w:t>(Estación Meteorológica, Universidad Estatal de Bolívar. Laguacoto II, 2017)</w:t>
      </w:r>
      <w:r w:rsidRPr="00686018">
        <w:rPr>
          <w:rFonts w:ascii="Times New Roman" w:hAnsi="Times New Roman" w:cs="Times New Roman"/>
        </w:rPr>
        <w:tab/>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71" w:name="_Toc535410466"/>
      <w:bookmarkStart w:id="172" w:name="_Toc9537816"/>
      <w:r w:rsidRPr="00686018">
        <w:rPr>
          <w:rFonts w:ascii="Times New Roman" w:hAnsi="Times New Roman" w:cs="Times New Roman"/>
          <w:i w:val="0"/>
          <w:u w:val="none"/>
        </w:rPr>
        <w:lastRenderedPageBreak/>
        <w:t>Zona de vida. (</w:t>
      </w:r>
      <w:r w:rsidR="00D96D6E" w:rsidRPr="00686018">
        <w:rPr>
          <w:rFonts w:ascii="Times New Roman" w:hAnsi="Times New Roman" w:cs="Times New Roman"/>
          <w:i w:val="0"/>
          <w:u w:val="none"/>
        </w:rPr>
        <w:t>Zonificación</w:t>
      </w:r>
      <w:r w:rsidRPr="00686018">
        <w:rPr>
          <w:rFonts w:ascii="Times New Roman" w:hAnsi="Times New Roman" w:cs="Times New Roman"/>
          <w:i w:val="0"/>
          <w:u w:val="none"/>
        </w:rPr>
        <w:t xml:space="preserve"> ecológica)</w:t>
      </w:r>
      <w:bookmarkEnd w:id="171"/>
      <w:bookmarkEnd w:id="172"/>
    </w:p>
    <w:p w:rsidR="00DF46F4" w:rsidRPr="00686018" w:rsidRDefault="00712A8B" w:rsidP="00A31608">
      <w:pPr>
        <w:jc w:val="both"/>
        <w:rPr>
          <w:rFonts w:ascii="Times New Roman" w:hAnsi="Times New Roman" w:cs="Times New Roman"/>
          <w:sz w:val="24"/>
        </w:rPr>
      </w:pPr>
      <w:r w:rsidRPr="00686018">
        <w:rPr>
          <w:rFonts w:ascii="Times New Roman" w:hAnsi="Times New Roman" w:cs="Times New Roman"/>
          <w:sz w:val="24"/>
        </w:rPr>
        <w:t>La ubicación del lugar donde se desarrolló</w:t>
      </w:r>
      <w:r w:rsidR="00DF46F4" w:rsidRPr="00686018">
        <w:rPr>
          <w:rFonts w:ascii="Times New Roman" w:hAnsi="Times New Roman" w:cs="Times New Roman"/>
          <w:sz w:val="24"/>
        </w:rPr>
        <w:t xml:space="preserve"> la investigación correspondiente al Laboratorio de Investigación, corresponde a la zona de vida: Bosque Húmedo Montano Bajo (BHMB), según la clasificación propuesta por el botánico climatólogo Leslie Holdridge.</w:t>
      </w:r>
    </w:p>
    <w:p w:rsidR="00DF46F4" w:rsidRPr="00686018" w:rsidRDefault="00DF46F4" w:rsidP="00A31608">
      <w:pPr>
        <w:pStyle w:val="Ttulo3"/>
        <w:numPr>
          <w:ilvl w:val="1"/>
          <w:numId w:val="4"/>
        </w:numPr>
        <w:ind w:left="431" w:hanging="431"/>
        <w:jc w:val="both"/>
        <w:rPr>
          <w:rFonts w:ascii="Times New Roman" w:hAnsi="Times New Roman" w:cs="Times New Roman"/>
          <w:i w:val="0"/>
        </w:rPr>
      </w:pPr>
      <w:bookmarkStart w:id="173" w:name="_Toc9537817"/>
      <w:bookmarkStart w:id="174" w:name="_Toc535410467"/>
      <w:bookmarkStart w:id="175" w:name="_Toc535410507"/>
      <w:r w:rsidRPr="00686018">
        <w:rPr>
          <w:rFonts w:ascii="Times New Roman" w:hAnsi="Times New Roman" w:cs="Times New Roman"/>
          <w:i w:val="0"/>
        </w:rPr>
        <w:t>M</w:t>
      </w:r>
      <w:r w:rsidR="00336E31" w:rsidRPr="00686018">
        <w:rPr>
          <w:rFonts w:ascii="Times New Roman" w:hAnsi="Times New Roman" w:cs="Times New Roman"/>
          <w:i w:val="0"/>
        </w:rPr>
        <w:t>ATERIALES Y</w:t>
      </w:r>
      <w:r w:rsidRPr="00686018">
        <w:rPr>
          <w:rFonts w:ascii="Times New Roman" w:hAnsi="Times New Roman" w:cs="Times New Roman"/>
          <w:i w:val="0"/>
        </w:rPr>
        <w:t xml:space="preserve"> EQUIPOS</w:t>
      </w:r>
      <w:bookmarkEnd w:id="173"/>
      <w:r w:rsidRPr="00686018">
        <w:rPr>
          <w:rFonts w:ascii="Times New Roman" w:hAnsi="Times New Roman" w:cs="Times New Roman"/>
          <w:i w:val="0"/>
        </w:rPr>
        <w:t xml:space="preserve"> </w:t>
      </w:r>
      <w:bookmarkEnd w:id="174"/>
      <w:bookmarkEnd w:id="175"/>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76" w:name="_Toc9537818"/>
      <w:r w:rsidRPr="00686018">
        <w:rPr>
          <w:rFonts w:ascii="Times New Roman" w:hAnsi="Times New Roman" w:cs="Times New Roman"/>
          <w:i w:val="0"/>
          <w:u w:val="none"/>
        </w:rPr>
        <w:t>Materiales</w:t>
      </w:r>
      <w:r w:rsidR="00980311" w:rsidRPr="00686018">
        <w:rPr>
          <w:rFonts w:ascii="Times New Roman" w:hAnsi="Times New Roman" w:cs="Times New Roman"/>
          <w:i w:val="0"/>
          <w:u w:val="none"/>
        </w:rPr>
        <w:t xml:space="preserve"> de laboratorio</w:t>
      </w:r>
      <w:bookmarkEnd w:id="176"/>
    </w:p>
    <w:p w:rsidR="00980311" w:rsidRPr="00686018" w:rsidRDefault="00980311" w:rsidP="00A31608">
      <w:pPr>
        <w:pStyle w:val="Prrafodelista"/>
        <w:numPr>
          <w:ilvl w:val="0"/>
          <w:numId w:val="27"/>
        </w:numPr>
        <w:jc w:val="both"/>
        <w:rPr>
          <w:rFonts w:ascii="Times New Roman" w:hAnsi="Times New Roman" w:cs="Times New Roman"/>
          <w:sz w:val="24"/>
        </w:rPr>
      </w:pPr>
      <w:r w:rsidRPr="00686018">
        <w:rPr>
          <w:rFonts w:ascii="Times New Roman" w:hAnsi="Times New Roman" w:cs="Times New Roman"/>
          <w:sz w:val="24"/>
        </w:rPr>
        <w:t>Vaso de precipitados</w:t>
      </w:r>
    </w:p>
    <w:p w:rsidR="00980311" w:rsidRPr="00686018" w:rsidRDefault="00980311" w:rsidP="00A31608">
      <w:pPr>
        <w:pStyle w:val="Prrafodelista"/>
        <w:numPr>
          <w:ilvl w:val="0"/>
          <w:numId w:val="27"/>
        </w:numPr>
        <w:jc w:val="both"/>
        <w:rPr>
          <w:rFonts w:ascii="Times New Roman" w:hAnsi="Times New Roman" w:cs="Times New Roman"/>
          <w:sz w:val="24"/>
        </w:rPr>
      </w:pPr>
      <w:r w:rsidRPr="00686018">
        <w:rPr>
          <w:rFonts w:ascii="Times New Roman" w:hAnsi="Times New Roman" w:cs="Times New Roman"/>
          <w:sz w:val="24"/>
        </w:rPr>
        <w:t>Varilla de agitación</w:t>
      </w:r>
    </w:p>
    <w:p w:rsidR="00980311" w:rsidRPr="00686018" w:rsidRDefault="00980311" w:rsidP="00A31608">
      <w:pPr>
        <w:pStyle w:val="Prrafodelista"/>
        <w:numPr>
          <w:ilvl w:val="0"/>
          <w:numId w:val="27"/>
        </w:numPr>
        <w:jc w:val="both"/>
        <w:rPr>
          <w:rFonts w:ascii="Times New Roman" w:hAnsi="Times New Roman" w:cs="Times New Roman"/>
          <w:sz w:val="24"/>
        </w:rPr>
      </w:pPr>
      <w:r w:rsidRPr="00686018">
        <w:rPr>
          <w:rFonts w:ascii="Times New Roman" w:hAnsi="Times New Roman" w:cs="Times New Roman"/>
          <w:sz w:val="24"/>
        </w:rPr>
        <w:t>Probetas</w:t>
      </w:r>
    </w:p>
    <w:p w:rsidR="00980311" w:rsidRPr="00686018" w:rsidRDefault="00980311" w:rsidP="00A31608">
      <w:pPr>
        <w:pStyle w:val="Prrafodelista"/>
        <w:numPr>
          <w:ilvl w:val="0"/>
          <w:numId w:val="27"/>
        </w:numPr>
        <w:jc w:val="both"/>
        <w:rPr>
          <w:rFonts w:ascii="Times New Roman" w:hAnsi="Times New Roman" w:cs="Times New Roman"/>
          <w:sz w:val="24"/>
        </w:rPr>
      </w:pPr>
      <w:r w:rsidRPr="00686018">
        <w:rPr>
          <w:rFonts w:ascii="Times New Roman" w:hAnsi="Times New Roman" w:cs="Times New Roman"/>
          <w:sz w:val="24"/>
        </w:rPr>
        <w:t>Bandeja plástica</w:t>
      </w:r>
    </w:p>
    <w:p w:rsidR="00980311" w:rsidRPr="00686018" w:rsidRDefault="00980311" w:rsidP="00A31608">
      <w:pPr>
        <w:pStyle w:val="Prrafodelista"/>
        <w:numPr>
          <w:ilvl w:val="0"/>
          <w:numId w:val="27"/>
        </w:numPr>
        <w:jc w:val="both"/>
        <w:rPr>
          <w:rFonts w:ascii="Times New Roman" w:hAnsi="Times New Roman" w:cs="Times New Roman"/>
          <w:sz w:val="24"/>
        </w:rPr>
      </w:pPr>
      <w:r w:rsidRPr="00686018">
        <w:rPr>
          <w:rFonts w:ascii="Times New Roman" w:hAnsi="Times New Roman" w:cs="Times New Roman"/>
          <w:sz w:val="24"/>
        </w:rPr>
        <w:t>Cuchara espátula</w:t>
      </w:r>
      <w:r w:rsidR="0039091A" w:rsidRPr="00686018">
        <w:rPr>
          <w:rFonts w:ascii="Times New Roman" w:hAnsi="Times New Roman" w:cs="Times New Roman"/>
          <w:sz w:val="24"/>
        </w:rPr>
        <w:t xml:space="preserve"> y pinzas</w:t>
      </w:r>
    </w:p>
    <w:p w:rsidR="00980311" w:rsidRPr="00686018" w:rsidRDefault="0039091A" w:rsidP="00A31608">
      <w:pPr>
        <w:pStyle w:val="Prrafodelista"/>
        <w:numPr>
          <w:ilvl w:val="0"/>
          <w:numId w:val="27"/>
        </w:numPr>
        <w:jc w:val="both"/>
        <w:rPr>
          <w:rFonts w:ascii="Times New Roman" w:hAnsi="Times New Roman" w:cs="Times New Roman"/>
          <w:sz w:val="24"/>
        </w:rPr>
      </w:pPr>
      <w:r w:rsidRPr="00686018">
        <w:rPr>
          <w:rFonts w:ascii="Times New Roman" w:hAnsi="Times New Roman" w:cs="Times New Roman"/>
          <w:sz w:val="24"/>
        </w:rPr>
        <w:t>Crisoles</w:t>
      </w:r>
    </w:p>
    <w:p w:rsidR="0039091A" w:rsidRPr="00686018" w:rsidRDefault="0039091A" w:rsidP="00A31608">
      <w:pPr>
        <w:pStyle w:val="Prrafodelista"/>
        <w:numPr>
          <w:ilvl w:val="0"/>
          <w:numId w:val="27"/>
        </w:numPr>
        <w:jc w:val="both"/>
        <w:rPr>
          <w:rFonts w:ascii="Times New Roman" w:hAnsi="Times New Roman" w:cs="Times New Roman"/>
          <w:sz w:val="24"/>
        </w:rPr>
      </w:pPr>
      <w:r w:rsidRPr="00686018">
        <w:rPr>
          <w:rFonts w:ascii="Times New Roman" w:hAnsi="Times New Roman" w:cs="Times New Roman"/>
          <w:sz w:val="24"/>
        </w:rPr>
        <w:t>Capsulas</w:t>
      </w:r>
    </w:p>
    <w:p w:rsidR="00980311" w:rsidRPr="00686018" w:rsidRDefault="0039091A" w:rsidP="00A31608">
      <w:pPr>
        <w:pStyle w:val="Prrafodelista"/>
        <w:numPr>
          <w:ilvl w:val="0"/>
          <w:numId w:val="27"/>
        </w:numPr>
        <w:jc w:val="both"/>
        <w:rPr>
          <w:rFonts w:ascii="Times New Roman" w:hAnsi="Times New Roman" w:cs="Times New Roman"/>
        </w:rPr>
      </w:pPr>
      <w:r w:rsidRPr="00686018">
        <w:rPr>
          <w:rFonts w:ascii="Times New Roman" w:hAnsi="Times New Roman" w:cs="Times New Roman"/>
        </w:rPr>
        <w:t>Mortero y pistilo</w:t>
      </w:r>
    </w:p>
    <w:p w:rsidR="0039091A" w:rsidRPr="00686018" w:rsidRDefault="0039091A" w:rsidP="00A31608">
      <w:pPr>
        <w:pStyle w:val="Prrafodelista"/>
        <w:numPr>
          <w:ilvl w:val="0"/>
          <w:numId w:val="27"/>
        </w:numPr>
        <w:jc w:val="both"/>
        <w:rPr>
          <w:rFonts w:ascii="Times New Roman" w:hAnsi="Times New Roman" w:cs="Times New Roman"/>
        </w:rPr>
      </w:pPr>
      <w:r w:rsidRPr="00686018">
        <w:rPr>
          <w:rFonts w:ascii="Times New Roman" w:hAnsi="Times New Roman" w:cs="Times New Roman"/>
        </w:rPr>
        <w:t>Desecador</w:t>
      </w:r>
    </w:p>
    <w:p w:rsidR="0039091A" w:rsidRPr="00686018" w:rsidRDefault="0039091A" w:rsidP="00A31608">
      <w:pPr>
        <w:pStyle w:val="Prrafodelista"/>
        <w:numPr>
          <w:ilvl w:val="0"/>
          <w:numId w:val="27"/>
        </w:numPr>
        <w:jc w:val="both"/>
        <w:rPr>
          <w:rFonts w:ascii="Times New Roman" w:hAnsi="Times New Roman" w:cs="Times New Roman"/>
        </w:rPr>
      </w:pPr>
      <w:r w:rsidRPr="00686018">
        <w:rPr>
          <w:rFonts w:ascii="Times New Roman" w:hAnsi="Times New Roman" w:cs="Times New Roman"/>
        </w:rPr>
        <w:t>Embudo</w:t>
      </w:r>
    </w:p>
    <w:p w:rsidR="0039091A" w:rsidRPr="00686018" w:rsidRDefault="0039091A" w:rsidP="00A31608">
      <w:pPr>
        <w:pStyle w:val="Prrafodelista"/>
        <w:numPr>
          <w:ilvl w:val="0"/>
          <w:numId w:val="27"/>
        </w:numPr>
        <w:jc w:val="both"/>
        <w:rPr>
          <w:rFonts w:ascii="Times New Roman" w:hAnsi="Times New Roman" w:cs="Times New Roman"/>
        </w:rPr>
      </w:pPr>
      <w:r w:rsidRPr="00686018">
        <w:rPr>
          <w:rFonts w:ascii="Times New Roman" w:hAnsi="Times New Roman" w:cs="Times New Roman"/>
        </w:rPr>
        <w:t>Sellador</w:t>
      </w:r>
    </w:p>
    <w:p w:rsidR="0039091A" w:rsidRPr="00686018" w:rsidRDefault="0039091A" w:rsidP="00A31608">
      <w:pPr>
        <w:pStyle w:val="Prrafodelista"/>
        <w:numPr>
          <w:ilvl w:val="0"/>
          <w:numId w:val="27"/>
        </w:numPr>
        <w:jc w:val="both"/>
        <w:rPr>
          <w:rFonts w:ascii="Times New Roman" w:hAnsi="Times New Roman" w:cs="Times New Roman"/>
        </w:rPr>
      </w:pPr>
      <w:r w:rsidRPr="00686018">
        <w:rPr>
          <w:rFonts w:ascii="Times New Roman" w:hAnsi="Times New Roman" w:cs="Times New Roman"/>
        </w:rPr>
        <w:t>Tapa de aluminio y sellador de goma</w:t>
      </w:r>
    </w:p>
    <w:p w:rsidR="0039091A" w:rsidRPr="00686018" w:rsidRDefault="0039091A" w:rsidP="00A31608">
      <w:pPr>
        <w:pStyle w:val="Prrafodelista"/>
        <w:numPr>
          <w:ilvl w:val="0"/>
          <w:numId w:val="27"/>
        </w:numPr>
        <w:jc w:val="both"/>
        <w:rPr>
          <w:rFonts w:ascii="Times New Roman" w:hAnsi="Times New Roman" w:cs="Times New Roman"/>
        </w:rPr>
      </w:pPr>
      <w:r w:rsidRPr="00686018">
        <w:rPr>
          <w:rFonts w:ascii="Times New Roman" w:hAnsi="Times New Roman" w:cs="Times New Roman"/>
        </w:rPr>
        <w:t>Frasco color ámbar de 31</w:t>
      </w:r>
      <w:r w:rsidR="00336E31" w:rsidRPr="00686018">
        <w:rPr>
          <w:rFonts w:ascii="Times New Roman" w:hAnsi="Times New Roman" w:cs="Times New Roman"/>
        </w:rPr>
        <w:t>1</w:t>
      </w:r>
      <w:r w:rsidR="00DD14D0">
        <w:rPr>
          <w:rFonts w:ascii="Times New Roman" w:hAnsi="Times New Roman" w:cs="Times New Roman"/>
        </w:rPr>
        <w:t>mL</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77" w:name="_Toc9537819"/>
      <w:r w:rsidRPr="00686018">
        <w:rPr>
          <w:rFonts w:ascii="Times New Roman" w:hAnsi="Times New Roman" w:cs="Times New Roman"/>
          <w:i w:val="0"/>
          <w:u w:val="none"/>
        </w:rPr>
        <w:t>Equipos</w:t>
      </w:r>
      <w:bookmarkEnd w:id="177"/>
    </w:p>
    <w:tbl>
      <w:tblPr>
        <w:tblStyle w:val="Tablaconcuadrcula"/>
        <w:tblW w:w="0" w:type="auto"/>
        <w:jc w:val="center"/>
        <w:tblBorders>
          <w:left w:val="none" w:sz="0" w:space="0" w:color="auto"/>
          <w:right w:val="none" w:sz="0" w:space="0" w:color="auto"/>
        </w:tblBorders>
        <w:tblLook w:val="04A0" w:firstRow="1" w:lastRow="0" w:firstColumn="1" w:lastColumn="0" w:noHBand="0" w:noVBand="1"/>
      </w:tblPr>
      <w:tblGrid>
        <w:gridCol w:w="3962"/>
        <w:gridCol w:w="3975"/>
      </w:tblGrid>
      <w:tr w:rsidR="00131882" w:rsidRPr="00686018" w:rsidTr="00B46DDC">
        <w:trPr>
          <w:jc w:val="center"/>
        </w:trPr>
        <w:tc>
          <w:tcPr>
            <w:tcW w:w="4247" w:type="dxa"/>
            <w:tcBorders>
              <w:right w:val="nil"/>
            </w:tcBorders>
            <w:vAlign w:val="center"/>
          </w:tcPr>
          <w:p w:rsidR="00131882" w:rsidRPr="00686018" w:rsidRDefault="00131882" w:rsidP="00B46DDC">
            <w:pPr>
              <w:jc w:val="center"/>
              <w:rPr>
                <w:rFonts w:ascii="Times New Roman" w:hAnsi="Times New Roman" w:cs="Times New Roman"/>
                <w:sz w:val="20"/>
                <w:szCs w:val="20"/>
              </w:rPr>
            </w:pPr>
            <w:r w:rsidRPr="00686018">
              <w:rPr>
                <w:rFonts w:ascii="Times New Roman" w:hAnsi="Times New Roman" w:cs="Times New Roman"/>
                <w:noProof/>
                <w:sz w:val="20"/>
                <w:szCs w:val="20"/>
                <w:lang w:eastAsia="es-EC"/>
              </w:rPr>
              <w:drawing>
                <wp:inline distT="0" distB="0" distL="0" distR="0" wp14:anchorId="313932D0" wp14:editId="7A5F13F9">
                  <wp:extent cx="1053435" cy="14001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68848" cy="1420661"/>
                          </a:xfrm>
                          <a:prstGeom prst="rect">
                            <a:avLst/>
                          </a:prstGeom>
                          <a:noFill/>
                        </pic:spPr>
                      </pic:pic>
                    </a:graphicData>
                  </a:graphic>
                </wp:inline>
              </w:drawing>
            </w:r>
          </w:p>
        </w:tc>
        <w:tc>
          <w:tcPr>
            <w:tcW w:w="4247" w:type="dxa"/>
            <w:tcBorders>
              <w:left w:val="nil"/>
            </w:tcBorders>
            <w:vAlign w:val="center"/>
          </w:tcPr>
          <w:p w:rsidR="00131882" w:rsidRPr="00686018" w:rsidRDefault="00131882" w:rsidP="00B46DDC">
            <w:pPr>
              <w:jc w:val="center"/>
              <w:rPr>
                <w:rFonts w:ascii="Times New Roman" w:hAnsi="Times New Roman" w:cs="Times New Roman"/>
                <w:sz w:val="20"/>
                <w:szCs w:val="20"/>
              </w:rPr>
            </w:pPr>
            <w:r w:rsidRPr="00686018">
              <w:rPr>
                <w:rFonts w:ascii="Times New Roman" w:hAnsi="Times New Roman" w:cs="Times New Roman"/>
                <w:noProof/>
                <w:sz w:val="20"/>
                <w:szCs w:val="20"/>
                <w:lang w:eastAsia="es-EC"/>
              </w:rPr>
              <w:drawing>
                <wp:inline distT="0" distB="0" distL="0" distR="0" wp14:anchorId="2C8E436D" wp14:editId="68BD6BC3">
                  <wp:extent cx="669851" cy="14135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D2124-2-manometro-com-termometro.jpg"/>
                          <pic:cNvPicPr/>
                        </pic:nvPicPr>
                        <pic:blipFill rotWithShape="1">
                          <a:blip r:embed="rId25" cstate="print">
                            <a:extLst>
                              <a:ext uri="{28A0092B-C50C-407E-A947-70E740481C1C}">
                                <a14:useLocalDpi xmlns:a14="http://schemas.microsoft.com/office/drawing/2010/main" val="0"/>
                              </a:ext>
                            </a:extLst>
                          </a:blip>
                          <a:srcRect l="25752" t="2293" r="25211" b="2811"/>
                          <a:stretch/>
                        </pic:blipFill>
                        <pic:spPr bwMode="auto">
                          <a:xfrm>
                            <a:off x="0" y="0"/>
                            <a:ext cx="673696" cy="1421623"/>
                          </a:xfrm>
                          <a:prstGeom prst="rect">
                            <a:avLst/>
                          </a:prstGeom>
                          <a:ln>
                            <a:noFill/>
                          </a:ln>
                          <a:extLst>
                            <a:ext uri="{53640926-AAD7-44D8-BBD7-CCE9431645EC}">
                              <a14:shadowObscured xmlns:a14="http://schemas.microsoft.com/office/drawing/2010/main"/>
                            </a:ext>
                          </a:extLst>
                        </pic:spPr>
                      </pic:pic>
                    </a:graphicData>
                  </a:graphic>
                </wp:inline>
              </w:drawing>
            </w:r>
          </w:p>
        </w:tc>
      </w:tr>
      <w:tr w:rsidR="00131882" w:rsidRPr="00686018" w:rsidTr="00B46DDC">
        <w:trPr>
          <w:jc w:val="center"/>
        </w:trPr>
        <w:tc>
          <w:tcPr>
            <w:tcW w:w="4247" w:type="dxa"/>
            <w:tcBorders>
              <w:right w:val="nil"/>
            </w:tcBorders>
            <w:vAlign w:val="center"/>
          </w:tcPr>
          <w:p w:rsidR="00131882" w:rsidRPr="00686018" w:rsidRDefault="00131882" w:rsidP="00B46DDC">
            <w:pPr>
              <w:jc w:val="center"/>
              <w:rPr>
                <w:rFonts w:ascii="Times New Roman" w:hAnsi="Times New Roman" w:cs="Times New Roman"/>
                <w:b/>
                <w:sz w:val="20"/>
                <w:szCs w:val="20"/>
              </w:rPr>
            </w:pPr>
            <w:r w:rsidRPr="00686018">
              <w:rPr>
                <w:rFonts w:ascii="Times New Roman" w:hAnsi="Times New Roman" w:cs="Times New Roman"/>
                <w:b/>
                <w:sz w:val="20"/>
                <w:szCs w:val="20"/>
              </w:rPr>
              <w:t>Biogás 5000 Gas Analyser</w:t>
            </w:r>
          </w:p>
        </w:tc>
        <w:tc>
          <w:tcPr>
            <w:tcW w:w="4247" w:type="dxa"/>
            <w:tcBorders>
              <w:left w:val="nil"/>
            </w:tcBorders>
            <w:vAlign w:val="center"/>
          </w:tcPr>
          <w:p w:rsidR="00131882" w:rsidRPr="00686018" w:rsidRDefault="00131882" w:rsidP="00B46DDC">
            <w:pPr>
              <w:jc w:val="center"/>
              <w:rPr>
                <w:rFonts w:ascii="Times New Roman" w:hAnsi="Times New Roman" w:cs="Times New Roman"/>
                <w:sz w:val="20"/>
                <w:szCs w:val="20"/>
              </w:rPr>
            </w:pPr>
            <w:r w:rsidRPr="00686018">
              <w:rPr>
                <w:rFonts w:ascii="Times New Roman" w:hAnsi="Times New Roman" w:cs="Times New Roman"/>
                <w:b/>
                <w:sz w:val="20"/>
                <w:szCs w:val="20"/>
              </w:rPr>
              <w:t>Manómetro – termómetro HD2124.2</w:t>
            </w:r>
          </w:p>
        </w:tc>
      </w:tr>
      <w:tr w:rsidR="00131882" w:rsidRPr="00686018" w:rsidTr="00B46DDC">
        <w:trPr>
          <w:jc w:val="center"/>
        </w:trPr>
        <w:tc>
          <w:tcPr>
            <w:tcW w:w="4247" w:type="dxa"/>
            <w:tcBorders>
              <w:right w:val="nil"/>
            </w:tcBorders>
            <w:vAlign w:val="center"/>
          </w:tcPr>
          <w:p w:rsidR="00131882" w:rsidRPr="00686018" w:rsidRDefault="00131882" w:rsidP="00B46DDC">
            <w:pPr>
              <w:jc w:val="center"/>
              <w:rPr>
                <w:rFonts w:ascii="Times New Roman" w:hAnsi="Times New Roman" w:cs="Times New Roman"/>
                <w:sz w:val="20"/>
                <w:szCs w:val="20"/>
              </w:rPr>
            </w:pPr>
            <w:r w:rsidRPr="00686018">
              <w:rPr>
                <w:rFonts w:ascii="Times New Roman" w:hAnsi="Times New Roman" w:cs="Times New Roman"/>
                <w:noProof/>
                <w:sz w:val="20"/>
                <w:szCs w:val="20"/>
                <w:lang w:eastAsia="es-EC"/>
              </w:rPr>
              <w:drawing>
                <wp:inline distT="0" distB="0" distL="0" distR="0" wp14:anchorId="45DBF666" wp14:editId="228889BD">
                  <wp:extent cx="1140368" cy="1049082"/>
                  <wp:effectExtent l="7303"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0125_110539.jpg"/>
                          <pic:cNvPicPr/>
                        </pic:nvPicPr>
                        <pic:blipFill rotWithShape="1">
                          <a:blip r:embed="rId26" cstate="print">
                            <a:extLst>
                              <a:ext uri="{28A0092B-C50C-407E-A947-70E740481C1C}">
                                <a14:useLocalDpi xmlns:a14="http://schemas.microsoft.com/office/drawing/2010/main" val="0"/>
                              </a:ext>
                            </a:extLst>
                          </a:blip>
                          <a:srcRect l="15272" t="7646" r="24896" b="4285"/>
                          <a:stretch/>
                        </pic:blipFill>
                        <pic:spPr bwMode="auto">
                          <a:xfrm rot="5400000">
                            <a:off x="0" y="0"/>
                            <a:ext cx="1140368" cy="104908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Borders>
              <w:left w:val="nil"/>
            </w:tcBorders>
            <w:vAlign w:val="center"/>
          </w:tcPr>
          <w:p w:rsidR="00131882" w:rsidRPr="00686018" w:rsidRDefault="00131882" w:rsidP="00B46DDC">
            <w:pPr>
              <w:jc w:val="center"/>
              <w:rPr>
                <w:rFonts w:ascii="Times New Roman" w:hAnsi="Times New Roman" w:cs="Times New Roman"/>
                <w:sz w:val="20"/>
                <w:szCs w:val="20"/>
              </w:rPr>
            </w:pPr>
            <w:r w:rsidRPr="00686018">
              <w:rPr>
                <w:rFonts w:ascii="Times New Roman" w:hAnsi="Times New Roman" w:cs="Times New Roman"/>
                <w:noProof/>
                <w:sz w:val="20"/>
                <w:szCs w:val="20"/>
                <w:lang w:eastAsia="es-EC"/>
              </w:rPr>
              <w:drawing>
                <wp:inline distT="0" distB="0" distL="0" distR="0" wp14:anchorId="6B18D39A" wp14:editId="327AA0C6">
                  <wp:extent cx="1324308" cy="821987"/>
                  <wp:effectExtent l="3493"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125_110214.jpg"/>
                          <pic:cNvPicPr/>
                        </pic:nvPicPr>
                        <pic:blipFill rotWithShape="1">
                          <a:blip r:embed="rId27" cstate="print">
                            <a:extLst>
                              <a:ext uri="{28A0092B-C50C-407E-A947-70E740481C1C}">
                                <a14:useLocalDpi xmlns:a14="http://schemas.microsoft.com/office/drawing/2010/main" val="0"/>
                              </a:ext>
                            </a:extLst>
                          </a:blip>
                          <a:srcRect l="11642" t="15693" r="24464" b="20724"/>
                          <a:stretch/>
                        </pic:blipFill>
                        <pic:spPr bwMode="auto">
                          <a:xfrm rot="5400000">
                            <a:off x="0" y="0"/>
                            <a:ext cx="1336550" cy="829586"/>
                          </a:xfrm>
                          <a:prstGeom prst="rect">
                            <a:avLst/>
                          </a:prstGeom>
                          <a:ln>
                            <a:noFill/>
                          </a:ln>
                          <a:extLst>
                            <a:ext uri="{53640926-AAD7-44D8-BBD7-CCE9431645EC}">
                              <a14:shadowObscured xmlns:a14="http://schemas.microsoft.com/office/drawing/2010/main"/>
                            </a:ext>
                          </a:extLst>
                        </pic:spPr>
                      </pic:pic>
                    </a:graphicData>
                  </a:graphic>
                </wp:inline>
              </w:drawing>
            </w:r>
          </w:p>
        </w:tc>
      </w:tr>
      <w:tr w:rsidR="00131882" w:rsidRPr="00686018" w:rsidTr="00B46DDC">
        <w:trPr>
          <w:jc w:val="center"/>
        </w:trPr>
        <w:tc>
          <w:tcPr>
            <w:tcW w:w="4247" w:type="dxa"/>
            <w:tcBorders>
              <w:right w:val="nil"/>
            </w:tcBorders>
            <w:vAlign w:val="center"/>
          </w:tcPr>
          <w:p w:rsidR="00131882" w:rsidRPr="00686018" w:rsidRDefault="00131882" w:rsidP="00B46DDC">
            <w:pPr>
              <w:jc w:val="center"/>
              <w:rPr>
                <w:rFonts w:ascii="Times New Roman" w:hAnsi="Times New Roman" w:cs="Times New Roman"/>
                <w:b/>
                <w:sz w:val="20"/>
                <w:szCs w:val="20"/>
              </w:rPr>
            </w:pPr>
            <w:r w:rsidRPr="00686018">
              <w:rPr>
                <w:rFonts w:ascii="Times New Roman" w:hAnsi="Times New Roman" w:cs="Times New Roman"/>
                <w:b/>
                <w:sz w:val="20"/>
                <w:szCs w:val="20"/>
              </w:rPr>
              <w:t>Agitador orbital 2346JPN</w:t>
            </w:r>
          </w:p>
        </w:tc>
        <w:tc>
          <w:tcPr>
            <w:tcW w:w="4247" w:type="dxa"/>
            <w:tcBorders>
              <w:left w:val="nil"/>
            </w:tcBorders>
            <w:vAlign w:val="center"/>
          </w:tcPr>
          <w:p w:rsidR="00131882" w:rsidRPr="00686018" w:rsidRDefault="00131882" w:rsidP="00B46DDC">
            <w:pPr>
              <w:jc w:val="center"/>
              <w:rPr>
                <w:rFonts w:ascii="Times New Roman" w:hAnsi="Times New Roman" w:cs="Times New Roman"/>
                <w:b/>
                <w:sz w:val="20"/>
                <w:szCs w:val="20"/>
              </w:rPr>
            </w:pPr>
            <w:r w:rsidRPr="00686018">
              <w:rPr>
                <w:rFonts w:ascii="Times New Roman" w:hAnsi="Times New Roman" w:cs="Times New Roman"/>
                <w:b/>
                <w:sz w:val="20"/>
                <w:szCs w:val="20"/>
              </w:rPr>
              <w:t>MuflaF47915</w:t>
            </w:r>
          </w:p>
        </w:tc>
      </w:tr>
      <w:tr w:rsidR="00131882" w:rsidRPr="00686018" w:rsidTr="00B46DDC">
        <w:trPr>
          <w:jc w:val="center"/>
        </w:trPr>
        <w:tc>
          <w:tcPr>
            <w:tcW w:w="4247" w:type="dxa"/>
            <w:tcBorders>
              <w:right w:val="nil"/>
            </w:tcBorders>
            <w:vAlign w:val="center"/>
          </w:tcPr>
          <w:p w:rsidR="00131882" w:rsidRPr="00686018" w:rsidRDefault="00131882" w:rsidP="00B46DDC">
            <w:pPr>
              <w:jc w:val="center"/>
              <w:rPr>
                <w:rFonts w:ascii="Times New Roman" w:hAnsi="Times New Roman" w:cs="Times New Roman"/>
                <w:sz w:val="20"/>
                <w:szCs w:val="20"/>
              </w:rPr>
            </w:pPr>
            <w:r w:rsidRPr="00686018">
              <w:rPr>
                <w:rFonts w:ascii="Times New Roman" w:hAnsi="Times New Roman" w:cs="Times New Roman"/>
                <w:noProof/>
                <w:sz w:val="20"/>
                <w:szCs w:val="20"/>
                <w:lang w:eastAsia="es-EC"/>
              </w:rPr>
              <w:lastRenderedPageBreak/>
              <w:drawing>
                <wp:inline distT="0" distB="0" distL="0" distR="0" wp14:anchorId="2576A013" wp14:editId="52E7D211">
                  <wp:extent cx="891234" cy="1617813"/>
                  <wp:effectExtent l="0" t="0" r="4445"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4306" cy="1623390"/>
                          </a:xfrm>
                          <a:prstGeom prst="rect">
                            <a:avLst/>
                          </a:prstGeom>
                          <a:noFill/>
                        </pic:spPr>
                      </pic:pic>
                    </a:graphicData>
                  </a:graphic>
                </wp:inline>
              </w:drawing>
            </w:r>
          </w:p>
        </w:tc>
        <w:tc>
          <w:tcPr>
            <w:tcW w:w="4247" w:type="dxa"/>
            <w:tcBorders>
              <w:left w:val="nil"/>
            </w:tcBorders>
            <w:vAlign w:val="center"/>
          </w:tcPr>
          <w:p w:rsidR="00131882" w:rsidRPr="00686018" w:rsidRDefault="00131882" w:rsidP="00B46DDC">
            <w:pPr>
              <w:jc w:val="center"/>
              <w:rPr>
                <w:rFonts w:ascii="Times New Roman" w:hAnsi="Times New Roman" w:cs="Times New Roman"/>
                <w:sz w:val="20"/>
                <w:szCs w:val="20"/>
              </w:rPr>
            </w:pPr>
            <w:r w:rsidRPr="00686018">
              <w:rPr>
                <w:rFonts w:ascii="Times New Roman" w:hAnsi="Times New Roman" w:cs="Times New Roman"/>
                <w:noProof/>
                <w:sz w:val="20"/>
                <w:szCs w:val="20"/>
                <w:lang w:eastAsia="es-EC"/>
              </w:rPr>
              <w:drawing>
                <wp:inline distT="0" distB="0" distL="0" distR="0" wp14:anchorId="2272B5DD" wp14:editId="25B7910A">
                  <wp:extent cx="714865" cy="1515745"/>
                  <wp:effectExtent l="0" t="0" r="9525"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6911" cy="1520084"/>
                          </a:xfrm>
                          <a:prstGeom prst="rect">
                            <a:avLst/>
                          </a:prstGeom>
                          <a:noFill/>
                        </pic:spPr>
                      </pic:pic>
                    </a:graphicData>
                  </a:graphic>
                </wp:inline>
              </w:drawing>
            </w:r>
          </w:p>
        </w:tc>
      </w:tr>
      <w:tr w:rsidR="00131882" w:rsidRPr="00686018" w:rsidTr="00B46DDC">
        <w:trPr>
          <w:jc w:val="center"/>
        </w:trPr>
        <w:tc>
          <w:tcPr>
            <w:tcW w:w="4247" w:type="dxa"/>
            <w:tcBorders>
              <w:right w:val="nil"/>
            </w:tcBorders>
            <w:vAlign w:val="center"/>
          </w:tcPr>
          <w:p w:rsidR="00131882" w:rsidRPr="00686018" w:rsidRDefault="00131882" w:rsidP="00B46DDC">
            <w:pPr>
              <w:jc w:val="center"/>
              <w:rPr>
                <w:rFonts w:ascii="Times New Roman" w:hAnsi="Times New Roman" w:cs="Times New Roman"/>
                <w:b/>
                <w:sz w:val="20"/>
                <w:szCs w:val="20"/>
              </w:rPr>
            </w:pPr>
            <w:r w:rsidRPr="00686018">
              <w:rPr>
                <w:rFonts w:ascii="Times New Roman" w:hAnsi="Times New Roman" w:cs="Times New Roman"/>
                <w:b/>
                <w:sz w:val="20"/>
                <w:szCs w:val="20"/>
              </w:rPr>
              <w:t>Balanza DHAUS (0,001g)</w:t>
            </w:r>
          </w:p>
        </w:tc>
        <w:tc>
          <w:tcPr>
            <w:tcW w:w="4247" w:type="dxa"/>
            <w:tcBorders>
              <w:left w:val="nil"/>
            </w:tcBorders>
            <w:vAlign w:val="center"/>
          </w:tcPr>
          <w:p w:rsidR="00131882" w:rsidRPr="00686018" w:rsidRDefault="00131882" w:rsidP="00B46DDC">
            <w:pPr>
              <w:jc w:val="center"/>
              <w:rPr>
                <w:rFonts w:ascii="Times New Roman" w:hAnsi="Times New Roman" w:cs="Times New Roman"/>
                <w:b/>
                <w:sz w:val="20"/>
                <w:szCs w:val="20"/>
              </w:rPr>
            </w:pPr>
            <w:r w:rsidRPr="00686018">
              <w:rPr>
                <w:rFonts w:ascii="Times New Roman" w:hAnsi="Times New Roman" w:cs="Times New Roman"/>
                <w:b/>
                <w:sz w:val="20"/>
                <w:szCs w:val="20"/>
              </w:rPr>
              <w:t>Licuadora Oster</w:t>
            </w:r>
          </w:p>
        </w:tc>
      </w:tr>
      <w:tr w:rsidR="00131882" w:rsidRPr="00686018" w:rsidTr="00B46DDC">
        <w:trPr>
          <w:jc w:val="center"/>
        </w:trPr>
        <w:tc>
          <w:tcPr>
            <w:tcW w:w="4247" w:type="dxa"/>
            <w:tcBorders>
              <w:right w:val="nil"/>
            </w:tcBorders>
            <w:vAlign w:val="center"/>
          </w:tcPr>
          <w:p w:rsidR="00131882" w:rsidRPr="00686018" w:rsidRDefault="00131882" w:rsidP="00B46DDC">
            <w:pPr>
              <w:jc w:val="center"/>
              <w:rPr>
                <w:rFonts w:ascii="Times New Roman" w:hAnsi="Times New Roman" w:cs="Times New Roman"/>
                <w:sz w:val="20"/>
                <w:szCs w:val="20"/>
              </w:rPr>
            </w:pPr>
            <w:r w:rsidRPr="00686018">
              <w:rPr>
                <w:rFonts w:ascii="Times New Roman" w:hAnsi="Times New Roman" w:cs="Times New Roman"/>
                <w:noProof/>
                <w:sz w:val="20"/>
                <w:szCs w:val="20"/>
                <w:lang w:eastAsia="es-EC"/>
              </w:rPr>
              <w:drawing>
                <wp:anchor distT="0" distB="0" distL="114300" distR="114300" simplePos="0" relativeHeight="251660288" behindDoc="0" locked="0" layoutInCell="1" allowOverlap="1" wp14:anchorId="0E43F77D" wp14:editId="607A3B7E">
                  <wp:simplePos x="0" y="0"/>
                  <wp:positionH relativeFrom="margin">
                    <wp:posOffset>743585</wp:posOffset>
                  </wp:positionH>
                  <wp:positionV relativeFrom="margin">
                    <wp:posOffset>-28575</wp:posOffset>
                  </wp:positionV>
                  <wp:extent cx="1289685" cy="1513205"/>
                  <wp:effectExtent l="0" t="0" r="571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0125_110658.jpg"/>
                          <pic:cNvPicPr/>
                        </pic:nvPicPr>
                        <pic:blipFill rotWithShape="1">
                          <a:blip r:embed="rId30" cstate="print">
                            <a:extLst>
                              <a:ext uri="{BEBA8EAE-BF5A-486C-A8C5-ECC9F3942E4B}">
                                <a14:imgProps xmlns:a14="http://schemas.microsoft.com/office/drawing/2010/main">
                                  <a14:imgLayer r:embed="rId31">
                                    <a14:imgEffect>
                                      <a14:backgroundRemoval t="8652" b="89135" l="17523" r="70846">
                                        <a14:foregroundMark x1="36405" y1="15493" x2="35650" y2="77867"/>
                                        <a14:foregroundMark x1="22508" y1="17103" x2="20544" y2="77867"/>
                                        <a14:foregroundMark x1="33686" y1="65996" x2="34139" y2="76861"/>
                                        <a14:foregroundMark x1="37160" y1="64990" x2="37160" y2="77867"/>
                                      </a14:backgroundRemoval>
                                    </a14:imgEffect>
                                  </a14:imgLayer>
                                </a14:imgProps>
                              </a:ext>
                              <a:ext uri="{28A0092B-C50C-407E-A947-70E740481C1C}">
                                <a14:useLocalDpi xmlns:a14="http://schemas.microsoft.com/office/drawing/2010/main" val="0"/>
                              </a:ext>
                            </a:extLst>
                          </a:blip>
                          <a:srcRect l="15522" r="27505" b="10865"/>
                          <a:stretch/>
                        </pic:blipFill>
                        <pic:spPr bwMode="auto">
                          <a:xfrm>
                            <a:off x="0" y="0"/>
                            <a:ext cx="1289685" cy="1513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47" w:type="dxa"/>
            <w:tcBorders>
              <w:left w:val="nil"/>
            </w:tcBorders>
            <w:vAlign w:val="center"/>
          </w:tcPr>
          <w:p w:rsidR="00131882" w:rsidRPr="00686018" w:rsidRDefault="00924D73" w:rsidP="00B46DDC">
            <w:pPr>
              <w:jc w:val="center"/>
              <w:rPr>
                <w:rFonts w:ascii="Times New Roman" w:hAnsi="Times New Roman" w:cs="Times New Roman"/>
                <w:sz w:val="20"/>
                <w:szCs w:val="20"/>
              </w:rPr>
            </w:pPr>
            <w:r w:rsidRPr="00686018">
              <w:rPr>
                <w:rFonts w:ascii="Times New Roman" w:hAnsi="Times New Roman" w:cs="Times New Roman"/>
                <w:noProof/>
                <w:sz w:val="20"/>
                <w:szCs w:val="20"/>
                <w:lang w:eastAsia="es-EC"/>
              </w:rPr>
              <w:drawing>
                <wp:inline distT="0" distB="0" distL="0" distR="0" wp14:anchorId="4C493CBF" wp14:editId="30AC3B69">
                  <wp:extent cx="1351280" cy="1351280"/>
                  <wp:effectExtent l="0" t="0" r="127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51280" cy="1351280"/>
                          </a:xfrm>
                          <a:prstGeom prst="rect">
                            <a:avLst/>
                          </a:prstGeom>
                          <a:noFill/>
                        </pic:spPr>
                      </pic:pic>
                    </a:graphicData>
                  </a:graphic>
                </wp:inline>
              </w:drawing>
            </w:r>
          </w:p>
        </w:tc>
      </w:tr>
      <w:tr w:rsidR="00131882" w:rsidRPr="00686018" w:rsidTr="00B46DDC">
        <w:trPr>
          <w:jc w:val="center"/>
        </w:trPr>
        <w:tc>
          <w:tcPr>
            <w:tcW w:w="4247" w:type="dxa"/>
            <w:tcBorders>
              <w:right w:val="nil"/>
            </w:tcBorders>
            <w:vAlign w:val="center"/>
          </w:tcPr>
          <w:p w:rsidR="00131882" w:rsidRPr="00686018" w:rsidRDefault="00131882" w:rsidP="00B46DDC">
            <w:pPr>
              <w:jc w:val="center"/>
              <w:rPr>
                <w:rFonts w:ascii="Times New Roman" w:hAnsi="Times New Roman" w:cs="Times New Roman"/>
                <w:b/>
                <w:sz w:val="20"/>
                <w:szCs w:val="20"/>
              </w:rPr>
            </w:pPr>
            <w:r w:rsidRPr="00686018">
              <w:rPr>
                <w:rFonts w:ascii="Times New Roman" w:hAnsi="Times New Roman" w:cs="Times New Roman"/>
                <w:b/>
                <w:sz w:val="20"/>
                <w:szCs w:val="20"/>
              </w:rPr>
              <w:t>Potenciómetro HACH HQ 40D</w:t>
            </w:r>
          </w:p>
        </w:tc>
        <w:tc>
          <w:tcPr>
            <w:tcW w:w="4247" w:type="dxa"/>
            <w:tcBorders>
              <w:left w:val="nil"/>
            </w:tcBorders>
            <w:vAlign w:val="center"/>
          </w:tcPr>
          <w:p w:rsidR="00131882" w:rsidRPr="00686018" w:rsidRDefault="00336E31" w:rsidP="00B46DDC">
            <w:pPr>
              <w:jc w:val="center"/>
              <w:rPr>
                <w:rFonts w:ascii="Times New Roman" w:hAnsi="Times New Roman" w:cs="Times New Roman"/>
                <w:b/>
                <w:sz w:val="20"/>
                <w:szCs w:val="20"/>
              </w:rPr>
            </w:pPr>
            <w:r w:rsidRPr="00686018">
              <w:rPr>
                <w:rFonts w:ascii="Times New Roman" w:hAnsi="Times New Roman" w:cs="Times New Roman"/>
                <w:b/>
                <w:sz w:val="20"/>
                <w:szCs w:val="20"/>
              </w:rPr>
              <w:t>Incubadora</w:t>
            </w:r>
            <w:r w:rsidR="00924D73" w:rsidRPr="00686018">
              <w:rPr>
                <w:rFonts w:ascii="Times New Roman" w:hAnsi="Times New Roman" w:cs="Times New Roman"/>
                <w:b/>
                <w:sz w:val="20"/>
                <w:szCs w:val="20"/>
              </w:rPr>
              <w:t xml:space="preserve"> - Esterilizador snb200</w:t>
            </w:r>
          </w:p>
        </w:tc>
      </w:tr>
    </w:tbl>
    <w:p w:rsidR="006E31EF" w:rsidRDefault="006E31EF" w:rsidP="00A31608">
      <w:pPr>
        <w:jc w:val="both"/>
      </w:pPr>
      <w:bookmarkStart w:id="178" w:name="_Toc535410468"/>
      <w:bookmarkStart w:id="179" w:name="_Toc535410508"/>
    </w:p>
    <w:p w:rsidR="006E31EF" w:rsidRDefault="00B639AA" w:rsidP="00891002">
      <w:pPr>
        <w:pStyle w:val="Descripcin"/>
        <w:jc w:val="center"/>
        <w:rPr>
          <w:rFonts w:ascii="Times New Roman" w:hAnsi="Times New Roman" w:cs="Times New Roman"/>
          <w:i w:val="0"/>
        </w:rPr>
      </w:pPr>
      <w:bookmarkStart w:id="180" w:name="_Toc9537880"/>
      <w:r>
        <w:rPr>
          <w:rFonts w:ascii="Times New Roman" w:hAnsi="Times New Roman" w:cs="Times New Roman"/>
          <w:b/>
          <w:i w:val="0"/>
          <w:color w:val="auto"/>
        </w:rPr>
        <w:t>Figura</w:t>
      </w:r>
      <w:r w:rsidR="006E31EF" w:rsidRPr="006E31EF">
        <w:rPr>
          <w:rFonts w:ascii="Times New Roman" w:hAnsi="Times New Roman" w:cs="Times New Roman"/>
          <w:b/>
          <w:i w:val="0"/>
          <w:color w:val="auto"/>
        </w:rPr>
        <w:t xml:space="preserve"> </w:t>
      </w:r>
      <w:r w:rsidR="006E31EF" w:rsidRPr="006E31EF">
        <w:rPr>
          <w:rFonts w:ascii="Times New Roman" w:hAnsi="Times New Roman" w:cs="Times New Roman"/>
          <w:b/>
          <w:i w:val="0"/>
          <w:color w:val="auto"/>
        </w:rPr>
        <w:fldChar w:fldCharType="begin"/>
      </w:r>
      <w:r w:rsidR="006E31EF" w:rsidRPr="006E31EF">
        <w:rPr>
          <w:rFonts w:ascii="Times New Roman" w:hAnsi="Times New Roman" w:cs="Times New Roman"/>
          <w:b/>
          <w:i w:val="0"/>
          <w:color w:val="auto"/>
        </w:rPr>
        <w:instrText xml:space="preserve"> SEQ Figure \* ARABIC </w:instrText>
      </w:r>
      <w:r w:rsidR="006E31EF" w:rsidRPr="006E31EF">
        <w:rPr>
          <w:rFonts w:ascii="Times New Roman" w:hAnsi="Times New Roman" w:cs="Times New Roman"/>
          <w:b/>
          <w:i w:val="0"/>
          <w:color w:val="auto"/>
        </w:rPr>
        <w:fldChar w:fldCharType="separate"/>
      </w:r>
      <w:r w:rsidR="006E31EF" w:rsidRPr="006E31EF">
        <w:rPr>
          <w:rFonts w:ascii="Times New Roman" w:hAnsi="Times New Roman" w:cs="Times New Roman"/>
          <w:b/>
          <w:i w:val="0"/>
          <w:noProof/>
          <w:color w:val="auto"/>
        </w:rPr>
        <w:t>12</w:t>
      </w:r>
      <w:r w:rsidR="006E31EF" w:rsidRPr="006E31EF">
        <w:rPr>
          <w:rFonts w:ascii="Times New Roman" w:hAnsi="Times New Roman" w:cs="Times New Roman"/>
          <w:b/>
          <w:i w:val="0"/>
          <w:color w:val="auto"/>
        </w:rPr>
        <w:fldChar w:fldCharType="end"/>
      </w:r>
      <w:r w:rsidR="006E31EF" w:rsidRPr="006E31EF">
        <w:rPr>
          <w:rFonts w:ascii="Times New Roman" w:hAnsi="Times New Roman" w:cs="Times New Roman"/>
          <w:b/>
          <w:i w:val="0"/>
          <w:color w:val="auto"/>
        </w:rPr>
        <w:t>.</w:t>
      </w:r>
      <w:r w:rsidR="006E31EF" w:rsidRPr="006E31EF">
        <w:rPr>
          <w:rFonts w:ascii="Times New Roman" w:hAnsi="Times New Roman" w:cs="Times New Roman"/>
          <w:i w:val="0"/>
          <w:color w:val="auto"/>
        </w:rPr>
        <w:t xml:space="preserve"> Equipos empleados en la investigación.</w:t>
      </w:r>
      <w:bookmarkEnd w:id="180"/>
    </w:p>
    <w:p w:rsidR="006E31EF" w:rsidRPr="006E31EF" w:rsidRDefault="006E31EF" w:rsidP="00891002">
      <w:pPr>
        <w:spacing w:after="360"/>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Pr>
          <w:rFonts w:ascii="Times New Roman" w:hAnsi="Times New Roman" w:cs="Times New Roman"/>
          <w:sz w:val="18"/>
        </w:rPr>
        <w:t>Elaborado por los autores, 2019.</w:t>
      </w:r>
    </w:p>
    <w:p w:rsidR="00DF46F4" w:rsidRPr="00686018" w:rsidRDefault="00DF46F4" w:rsidP="00A31608">
      <w:pPr>
        <w:pStyle w:val="Ttulo3"/>
        <w:numPr>
          <w:ilvl w:val="1"/>
          <w:numId w:val="4"/>
        </w:numPr>
        <w:ind w:left="431" w:hanging="431"/>
        <w:jc w:val="both"/>
        <w:rPr>
          <w:rFonts w:ascii="Times New Roman" w:hAnsi="Times New Roman" w:cs="Times New Roman"/>
          <w:i w:val="0"/>
        </w:rPr>
      </w:pPr>
      <w:bookmarkStart w:id="181" w:name="_Toc9537820"/>
      <w:r w:rsidRPr="00686018">
        <w:rPr>
          <w:rFonts w:ascii="Times New Roman" w:hAnsi="Times New Roman" w:cs="Times New Roman"/>
          <w:i w:val="0"/>
        </w:rPr>
        <w:t>ANÁLISIS ESTADÍSTICO</w:t>
      </w:r>
      <w:bookmarkEnd w:id="178"/>
      <w:bookmarkEnd w:id="179"/>
      <w:bookmarkEnd w:id="181"/>
      <w:r w:rsidRPr="00686018">
        <w:rPr>
          <w:rFonts w:ascii="Times New Roman" w:hAnsi="Times New Roman" w:cs="Times New Roman"/>
          <w:i w:val="0"/>
        </w:rPr>
        <w:t xml:space="preserve"> </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82" w:name="_Toc9537821"/>
      <w:r w:rsidRPr="00686018">
        <w:rPr>
          <w:rFonts w:ascii="Times New Roman" w:hAnsi="Times New Roman" w:cs="Times New Roman"/>
          <w:i w:val="0"/>
          <w:u w:val="none"/>
        </w:rPr>
        <w:t>Arreglo experimental y tratamientos en estudio</w:t>
      </w:r>
      <w:bookmarkEnd w:id="182"/>
    </w:p>
    <w:p w:rsidR="00C2246C" w:rsidRPr="00686018" w:rsidRDefault="00712A8B" w:rsidP="00A31608">
      <w:pPr>
        <w:jc w:val="both"/>
        <w:rPr>
          <w:rFonts w:ascii="Times New Roman" w:hAnsi="Times New Roman" w:cs="Times New Roman"/>
          <w:sz w:val="24"/>
          <w:szCs w:val="24"/>
        </w:rPr>
      </w:pPr>
      <w:r w:rsidRPr="00686018">
        <w:rPr>
          <w:rFonts w:ascii="Times New Roman" w:hAnsi="Times New Roman" w:cs="Times New Roman"/>
          <w:sz w:val="24"/>
          <w:szCs w:val="24"/>
        </w:rPr>
        <w:t>Se empleó</w:t>
      </w:r>
      <w:r w:rsidR="00DF46F4" w:rsidRPr="00686018">
        <w:rPr>
          <w:rFonts w:ascii="Times New Roman" w:hAnsi="Times New Roman" w:cs="Times New Roman"/>
          <w:sz w:val="24"/>
          <w:szCs w:val="24"/>
        </w:rPr>
        <w:t xml:space="preserve"> un diseño experimental de </w:t>
      </w:r>
      <w:r w:rsidR="00F734D9" w:rsidRPr="00686018">
        <w:rPr>
          <w:rFonts w:ascii="Times New Roman" w:hAnsi="Times New Roman" w:cs="Times New Roman"/>
          <w:sz w:val="24"/>
          <w:szCs w:val="24"/>
        </w:rPr>
        <w:t>una vía</w:t>
      </w:r>
      <w:r w:rsidR="00DF46F4" w:rsidRPr="00686018">
        <w:rPr>
          <w:rFonts w:ascii="Times New Roman" w:hAnsi="Times New Roman" w:cs="Times New Roman"/>
          <w:sz w:val="24"/>
          <w:szCs w:val="24"/>
        </w:rPr>
        <w:t xml:space="preserve">. </w:t>
      </w:r>
      <w:r w:rsidRPr="00686018">
        <w:rPr>
          <w:rFonts w:ascii="Times New Roman" w:hAnsi="Times New Roman" w:cs="Times New Roman"/>
          <w:sz w:val="24"/>
          <w:szCs w:val="24"/>
        </w:rPr>
        <w:t>La variable experimental fue la</w:t>
      </w:r>
      <w:r w:rsidR="00114551" w:rsidRPr="00686018">
        <w:rPr>
          <w:rFonts w:ascii="Times New Roman" w:hAnsi="Times New Roman" w:cs="Times New Roman"/>
          <w:sz w:val="24"/>
          <w:szCs w:val="24"/>
        </w:rPr>
        <w:t xml:space="preserve"> </w:t>
      </w:r>
      <w:r w:rsidR="00DF46F4" w:rsidRPr="00686018">
        <w:rPr>
          <w:rFonts w:ascii="Times New Roman" w:hAnsi="Times New Roman" w:cs="Times New Roman"/>
          <w:sz w:val="24"/>
          <w:szCs w:val="24"/>
        </w:rPr>
        <w:t>relación de residuo ruminal</w:t>
      </w:r>
      <w:r w:rsidR="00114551" w:rsidRPr="00686018">
        <w:rPr>
          <w:rFonts w:ascii="Times New Roman" w:hAnsi="Times New Roman" w:cs="Times New Roman"/>
          <w:sz w:val="24"/>
          <w:szCs w:val="24"/>
        </w:rPr>
        <w:t xml:space="preserve"> (RE) a </w:t>
      </w:r>
      <w:r w:rsidR="00DF46F4" w:rsidRPr="00686018">
        <w:rPr>
          <w:rFonts w:ascii="Times New Roman" w:hAnsi="Times New Roman" w:cs="Times New Roman"/>
          <w:sz w:val="24"/>
          <w:szCs w:val="24"/>
        </w:rPr>
        <w:t>paja de trigo (TR))</w:t>
      </w:r>
      <w:r w:rsidR="00114551" w:rsidRPr="00686018">
        <w:rPr>
          <w:rFonts w:ascii="Times New Roman" w:hAnsi="Times New Roman" w:cs="Times New Roman"/>
          <w:sz w:val="24"/>
          <w:szCs w:val="24"/>
        </w:rPr>
        <w:t xml:space="preserve">, la variable respuesta </w:t>
      </w:r>
      <w:r w:rsidRPr="00686018">
        <w:rPr>
          <w:rFonts w:ascii="Times New Roman" w:hAnsi="Times New Roman" w:cs="Times New Roman"/>
          <w:sz w:val="24"/>
          <w:szCs w:val="24"/>
        </w:rPr>
        <w:t xml:space="preserve">fue </w:t>
      </w:r>
      <w:r w:rsidR="00DD14D0">
        <w:rPr>
          <w:rFonts w:ascii="Times New Roman" w:hAnsi="Times New Roman" w:cs="Times New Roman"/>
          <w:sz w:val="24"/>
          <w:szCs w:val="24"/>
        </w:rPr>
        <w:t>mL</w:t>
      </w:r>
      <w:r w:rsidR="00114551" w:rsidRPr="00686018">
        <w:rPr>
          <w:rFonts w:ascii="Times New Roman" w:hAnsi="Times New Roman" w:cs="Times New Roman"/>
          <w:sz w:val="24"/>
          <w:szCs w:val="24"/>
        </w:rPr>
        <w:t xml:space="preserve"> Biogás /g-SV y </w:t>
      </w:r>
      <w:r w:rsidR="00DD14D0">
        <w:rPr>
          <w:rFonts w:ascii="Times New Roman" w:hAnsi="Times New Roman" w:cs="Times New Roman"/>
          <w:sz w:val="24"/>
          <w:szCs w:val="24"/>
        </w:rPr>
        <w:t>mL</w:t>
      </w:r>
      <w:r w:rsidR="00114551" w:rsidRPr="00686018">
        <w:rPr>
          <w:rFonts w:ascii="Times New Roman" w:hAnsi="Times New Roman" w:cs="Times New Roman"/>
          <w:sz w:val="24"/>
          <w:szCs w:val="24"/>
        </w:rPr>
        <w:t xml:space="preserve"> CH</w:t>
      </w:r>
      <w:r w:rsidR="00114551" w:rsidRPr="00686018">
        <w:rPr>
          <w:rFonts w:ascii="Times New Roman" w:hAnsi="Times New Roman" w:cs="Times New Roman"/>
          <w:sz w:val="24"/>
          <w:szCs w:val="24"/>
          <w:vertAlign w:val="subscript"/>
        </w:rPr>
        <w:t xml:space="preserve">4 </w:t>
      </w:r>
      <w:r w:rsidR="00114551" w:rsidRPr="00686018">
        <w:rPr>
          <w:rFonts w:ascii="Times New Roman" w:hAnsi="Times New Roman" w:cs="Times New Roman"/>
          <w:sz w:val="24"/>
          <w:szCs w:val="24"/>
        </w:rPr>
        <w:t>/g-SV</w:t>
      </w:r>
      <w:r w:rsidR="00DF46F4" w:rsidRPr="00686018">
        <w:rPr>
          <w:rFonts w:ascii="Times New Roman" w:hAnsi="Times New Roman" w:cs="Times New Roman"/>
          <w:sz w:val="24"/>
          <w:szCs w:val="24"/>
        </w:rPr>
        <w:t xml:space="preserve">. </w:t>
      </w:r>
      <w:r w:rsidRPr="00686018">
        <w:rPr>
          <w:rFonts w:ascii="Times New Roman" w:hAnsi="Times New Roman" w:cs="Times New Roman"/>
          <w:sz w:val="24"/>
          <w:szCs w:val="24"/>
        </w:rPr>
        <w:t>Se realizó</w:t>
      </w:r>
      <w:r w:rsidR="00114551" w:rsidRPr="00686018">
        <w:rPr>
          <w:rFonts w:ascii="Times New Roman" w:hAnsi="Times New Roman" w:cs="Times New Roman"/>
          <w:sz w:val="24"/>
          <w:szCs w:val="24"/>
        </w:rPr>
        <w:t xml:space="preserve"> tres experimentos con diferentes razones de inoculo a sustrato, los cuales </w:t>
      </w:r>
      <w:r w:rsidR="00CC5E9A" w:rsidRPr="00686018">
        <w:rPr>
          <w:rFonts w:ascii="Times New Roman" w:hAnsi="Times New Roman" w:cs="Times New Roman"/>
          <w:sz w:val="24"/>
          <w:szCs w:val="24"/>
        </w:rPr>
        <w:t>fueron</w:t>
      </w:r>
      <w:r w:rsidR="00114551" w:rsidRPr="00686018">
        <w:rPr>
          <w:rFonts w:ascii="Times New Roman" w:hAnsi="Times New Roman" w:cs="Times New Roman"/>
          <w:sz w:val="24"/>
          <w:szCs w:val="24"/>
        </w:rPr>
        <w:t>: razón I:S – 2:1, I:S – 1:1 y I:S – 1:2 en base a</w:t>
      </w:r>
      <w:r w:rsidR="002A0945">
        <w:rPr>
          <w:rFonts w:ascii="Times New Roman" w:hAnsi="Times New Roman" w:cs="Times New Roman"/>
          <w:sz w:val="24"/>
          <w:szCs w:val="24"/>
        </w:rPr>
        <w:t xml:space="preserve"> sólidos volátiles</w:t>
      </w:r>
      <w:r w:rsidR="00114551" w:rsidRPr="00686018">
        <w:rPr>
          <w:rFonts w:ascii="Times New Roman" w:hAnsi="Times New Roman" w:cs="Times New Roman"/>
          <w:sz w:val="24"/>
          <w:szCs w:val="24"/>
        </w:rPr>
        <w:t xml:space="preserve"> </w:t>
      </w:r>
      <w:r w:rsidR="002A0945">
        <w:rPr>
          <w:rFonts w:ascii="Times New Roman" w:hAnsi="Times New Roman" w:cs="Times New Roman"/>
          <w:sz w:val="24"/>
          <w:szCs w:val="24"/>
        </w:rPr>
        <w:t>(</w:t>
      </w:r>
      <w:r w:rsidR="00114551" w:rsidRPr="00686018">
        <w:rPr>
          <w:rFonts w:ascii="Times New Roman" w:hAnsi="Times New Roman" w:cs="Times New Roman"/>
          <w:sz w:val="24"/>
          <w:szCs w:val="24"/>
        </w:rPr>
        <w:t>SV</w:t>
      </w:r>
      <w:r w:rsidR="002A0945">
        <w:rPr>
          <w:rFonts w:ascii="Times New Roman" w:hAnsi="Times New Roman" w:cs="Times New Roman"/>
          <w:sz w:val="24"/>
          <w:szCs w:val="24"/>
        </w:rPr>
        <w:t>)</w:t>
      </w:r>
      <w:r w:rsidR="00114551" w:rsidRPr="00686018">
        <w:rPr>
          <w:rFonts w:ascii="Times New Roman" w:hAnsi="Times New Roman" w:cs="Times New Roman"/>
          <w:sz w:val="24"/>
          <w:szCs w:val="24"/>
        </w:rPr>
        <w:t xml:space="preserve">. </w:t>
      </w:r>
      <w:r w:rsidR="00DF46F4" w:rsidRPr="00686018">
        <w:rPr>
          <w:rFonts w:ascii="Times New Roman" w:hAnsi="Times New Roman" w:cs="Times New Roman"/>
          <w:sz w:val="24"/>
          <w:szCs w:val="24"/>
        </w:rPr>
        <w:t>Las tablas 3 y 4 detallan el arreglo dispuesto.</w:t>
      </w:r>
    </w:p>
    <w:p w:rsidR="00DF46F4" w:rsidRPr="00686018" w:rsidRDefault="00DF46F4" w:rsidP="00A31608">
      <w:pPr>
        <w:pStyle w:val="Descripcin"/>
        <w:jc w:val="both"/>
        <w:rPr>
          <w:rFonts w:ascii="Times New Roman" w:hAnsi="Times New Roman" w:cs="Times New Roman"/>
          <w:i w:val="0"/>
          <w:color w:val="auto"/>
        </w:rPr>
      </w:pPr>
      <w:bookmarkStart w:id="183" w:name="_Toc9537906"/>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3</w:t>
      </w:r>
      <w:r w:rsidRPr="00686018">
        <w:rPr>
          <w:rFonts w:ascii="Times New Roman" w:hAnsi="Times New Roman" w:cs="Times New Roman"/>
          <w:b/>
          <w:i w:val="0"/>
          <w:color w:val="auto"/>
        </w:rPr>
        <w:fldChar w:fldCharType="end"/>
      </w:r>
      <w:r w:rsidR="00197546" w:rsidRPr="00686018">
        <w:rPr>
          <w:rFonts w:ascii="Times New Roman" w:hAnsi="Times New Roman" w:cs="Times New Roman"/>
          <w:i w:val="0"/>
          <w:color w:val="auto"/>
        </w:rPr>
        <w:t>. Factor</w:t>
      </w:r>
      <w:r w:rsidRPr="00686018">
        <w:rPr>
          <w:rFonts w:ascii="Times New Roman" w:hAnsi="Times New Roman" w:cs="Times New Roman"/>
          <w:i w:val="0"/>
          <w:color w:val="auto"/>
        </w:rPr>
        <w:t xml:space="preserve"> de estudio para monodigestión y codigestión anaerobia</w:t>
      </w:r>
      <w:bookmarkEnd w:id="183"/>
    </w:p>
    <w:tbl>
      <w:tblPr>
        <w:tblW w:w="8005" w:type="dxa"/>
        <w:tblCellMar>
          <w:left w:w="70" w:type="dxa"/>
          <w:right w:w="70" w:type="dxa"/>
        </w:tblCellMar>
        <w:tblLook w:val="04A0" w:firstRow="1" w:lastRow="0" w:firstColumn="1" w:lastColumn="0" w:noHBand="0" w:noVBand="1"/>
      </w:tblPr>
      <w:tblGrid>
        <w:gridCol w:w="2232"/>
        <w:gridCol w:w="1838"/>
        <w:gridCol w:w="1050"/>
        <w:gridCol w:w="1050"/>
        <w:gridCol w:w="1835"/>
      </w:tblGrid>
      <w:tr w:rsidR="00634CC3" w:rsidRPr="00686018" w:rsidTr="00A31608">
        <w:trPr>
          <w:trHeight w:val="324"/>
        </w:trPr>
        <w:tc>
          <w:tcPr>
            <w:tcW w:w="2232" w:type="dxa"/>
            <w:tcBorders>
              <w:top w:val="single" w:sz="4" w:space="0" w:color="auto"/>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Experimento</w:t>
            </w:r>
          </w:p>
        </w:tc>
        <w:tc>
          <w:tcPr>
            <w:tcW w:w="1838" w:type="dxa"/>
            <w:tcBorders>
              <w:top w:val="single" w:sz="4" w:space="0" w:color="auto"/>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Descripción</w:t>
            </w:r>
          </w:p>
        </w:tc>
        <w:tc>
          <w:tcPr>
            <w:tcW w:w="1050" w:type="dxa"/>
            <w:tcBorders>
              <w:top w:val="single" w:sz="4" w:space="0" w:color="auto"/>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Factor de estudio</w:t>
            </w:r>
          </w:p>
        </w:tc>
        <w:tc>
          <w:tcPr>
            <w:tcW w:w="1050" w:type="dxa"/>
            <w:tcBorders>
              <w:top w:val="single" w:sz="4" w:space="0" w:color="auto"/>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Niveles</w:t>
            </w:r>
          </w:p>
        </w:tc>
        <w:tc>
          <w:tcPr>
            <w:tcW w:w="1835" w:type="dxa"/>
            <w:tcBorders>
              <w:top w:val="single" w:sz="4" w:space="0" w:color="auto"/>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Descripción</w:t>
            </w:r>
          </w:p>
        </w:tc>
      </w:tr>
      <w:tr w:rsidR="00634CC3" w:rsidRPr="00686018" w:rsidTr="00A31608">
        <w:trPr>
          <w:trHeight w:val="324"/>
        </w:trPr>
        <w:tc>
          <w:tcPr>
            <w:tcW w:w="2232"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I:S - 2:1</w:t>
            </w:r>
          </w:p>
        </w:tc>
        <w:tc>
          <w:tcPr>
            <w:tcW w:w="1838"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66,67% Inóculo y 33,33% Sustratos</w:t>
            </w:r>
          </w:p>
        </w:tc>
        <w:tc>
          <w:tcPr>
            <w:tcW w:w="1050"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1050" w:type="dxa"/>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- 0:4</w:t>
            </w:r>
          </w:p>
        </w:tc>
        <w:tc>
          <w:tcPr>
            <w:tcW w:w="1835" w:type="dxa"/>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 Trigo</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- 1:3</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 RE + 75%TR</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- 2:2</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 RE + 50%TR</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- 3:1</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 RE + 25%TR</w:t>
            </w:r>
          </w:p>
        </w:tc>
      </w:tr>
      <w:tr w:rsidR="00634CC3" w:rsidRPr="00686018" w:rsidTr="00A31608">
        <w:trPr>
          <w:trHeight w:val="324"/>
        </w:trPr>
        <w:tc>
          <w:tcPr>
            <w:tcW w:w="2232"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- 4:0</w:t>
            </w:r>
          </w:p>
        </w:tc>
        <w:tc>
          <w:tcPr>
            <w:tcW w:w="1835" w:type="dxa"/>
            <w:tcBorders>
              <w:top w:val="nil"/>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 R. Ruminal</w:t>
            </w:r>
          </w:p>
        </w:tc>
      </w:tr>
      <w:tr w:rsidR="00634CC3" w:rsidRPr="00686018" w:rsidTr="00A31608">
        <w:trPr>
          <w:trHeight w:val="324"/>
        </w:trPr>
        <w:tc>
          <w:tcPr>
            <w:tcW w:w="2232"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I:S - 1:1</w:t>
            </w:r>
          </w:p>
        </w:tc>
        <w:tc>
          <w:tcPr>
            <w:tcW w:w="1838"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 Inóculo y 50% Sustratos</w:t>
            </w:r>
          </w:p>
        </w:tc>
        <w:tc>
          <w:tcPr>
            <w:tcW w:w="1050"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1050" w:type="dxa"/>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- 0:4</w:t>
            </w:r>
          </w:p>
        </w:tc>
        <w:tc>
          <w:tcPr>
            <w:tcW w:w="1835" w:type="dxa"/>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 Trigo</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- 1:3</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 RE + 75%TR</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- 2:2</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 RE + 50%TR</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- 3:1</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 RE + 25%TR</w:t>
            </w:r>
          </w:p>
        </w:tc>
      </w:tr>
      <w:tr w:rsidR="00634CC3" w:rsidRPr="00686018" w:rsidTr="00A31608">
        <w:trPr>
          <w:trHeight w:val="324"/>
        </w:trPr>
        <w:tc>
          <w:tcPr>
            <w:tcW w:w="2232"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- 4:0</w:t>
            </w:r>
          </w:p>
        </w:tc>
        <w:tc>
          <w:tcPr>
            <w:tcW w:w="1835" w:type="dxa"/>
            <w:tcBorders>
              <w:top w:val="nil"/>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 R. Ruminal</w:t>
            </w:r>
          </w:p>
        </w:tc>
      </w:tr>
      <w:tr w:rsidR="00634CC3" w:rsidRPr="00686018" w:rsidTr="00A31608">
        <w:trPr>
          <w:trHeight w:val="324"/>
        </w:trPr>
        <w:tc>
          <w:tcPr>
            <w:tcW w:w="2232"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I:S - 1:2</w:t>
            </w:r>
          </w:p>
        </w:tc>
        <w:tc>
          <w:tcPr>
            <w:tcW w:w="1838"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33,33% Inóculo y 66,67% Sustratos</w:t>
            </w:r>
          </w:p>
        </w:tc>
        <w:tc>
          <w:tcPr>
            <w:tcW w:w="1050" w:type="dxa"/>
            <w:vMerge w:val="restart"/>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1050" w:type="dxa"/>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- 0:4</w:t>
            </w:r>
          </w:p>
        </w:tc>
        <w:tc>
          <w:tcPr>
            <w:tcW w:w="1835" w:type="dxa"/>
            <w:tcBorders>
              <w:top w:val="single" w:sz="4" w:space="0" w:color="auto"/>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 Trigo</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- 1:3</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 RE + 75%TR</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- 2:2</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 RE + 50%TR</w:t>
            </w:r>
          </w:p>
        </w:tc>
      </w:tr>
      <w:tr w:rsidR="00634CC3" w:rsidRPr="00686018" w:rsidTr="00A31608">
        <w:trPr>
          <w:trHeight w:val="324"/>
        </w:trPr>
        <w:tc>
          <w:tcPr>
            <w:tcW w:w="2232"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nil"/>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- 3:1</w:t>
            </w:r>
          </w:p>
        </w:tc>
        <w:tc>
          <w:tcPr>
            <w:tcW w:w="1835" w:type="dxa"/>
            <w:tcBorders>
              <w:top w:val="nil"/>
              <w:left w:val="nil"/>
              <w:bottom w:val="nil"/>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 RE + 25%TR</w:t>
            </w:r>
          </w:p>
        </w:tc>
      </w:tr>
      <w:tr w:rsidR="00634CC3" w:rsidRPr="00686018" w:rsidTr="00A31608">
        <w:trPr>
          <w:trHeight w:val="324"/>
        </w:trPr>
        <w:tc>
          <w:tcPr>
            <w:tcW w:w="2232"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838"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vMerge/>
            <w:tcBorders>
              <w:top w:val="nil"/>
              <w:left w:val="nil"/>
              <w:bottom w:val="single" w:sz="4" w:space="0" w:color="auto"/>
              <w:right w:val="nil"/>
            </w:tcBorders>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p>
        </w:tc>
        <w:tc>
          <w:tcPr>
            <w:tcW w:w="1050" w:type="dxa"/>
            <w:tcBorders>
              <w:top w:val="nil"/>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- 4:0</w:t>
            </w:r>
          </w:p>
        </w:tc>
        <w:tc>
          <w:tcPr>
            <w:tcW w:w="1835" w:type="dxa"/>
            <w:tcBorders>
              <w:top w:val="nil"/>
              <w:left w:val="nil"/>
              <w:bottom w:val="single" w:sz="4" w:space="0" w:color="auto"/>
              <w:right w:val="nil"/>
            </w:tcBorders>
            <w:shd w:val="clear" w:color="auto" w:fill="auto"/>
            <w:noWrap/>
            <w:vAlign w:val="center"/>
            <w:hideMark/>
          </w:tcPr>
          <w:p w:rsidR="00634CC3" w:rsidRPr="00686018" w:rsidRDefault="00634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 R. Ruminal</w:t>
            </w:r>
          </w:p>
        </w:tc>
      </w:tr>
    </w:tbl>
    <w:p w:rsidR="00DF46F4" w:rsidRPr="00686018" w:rsidRDefault="00DF46F4"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w:t>
      </w:r>
      <w:r w:rsidR="006E31EF">
        <w:rPr>
          <w:rFonts w:ascii="Times New Roman" w:hAnsi="Times New Roman" w:cs="Times New Roman"/>
          <w:sz w:val="18"/>
        </w:rPr>
        <w:t>laborado por los autores, 2019.</w:t>
      </w:r>
    </w:p>
    <w:p w:rsidR="00DF46F4" w:rsidRPr="00686018" w:rsidRDefault="00DF46F4" w:rsidP="00A31608">
      <w:pPr>
        <w:pStyle w:val="Ttulo3"/>
        <w:numPr>
          <w:ilvl w:val="1"/>
          <w:numId w:val="4"/>
        </w:numPr>
        <w:ind w:left="431" w:hanging="431"/>
        <w:jc w:val="both"/>
        <w:rPr>
          <w:rFonts w:ascii="Times New Roman" w:hAnsi="Times New Roman" w:cs="Times New Roman"/>
          <w:i w:val="0"/>
        </w:rPr>
      </w:pPr>
      <w:bookmarkStart w:id="184" w:name="_Toc535410472"/>
      <w:bookmarkStart w:id="185" w:name="_Toc535410509"/>
      <w:bookmarkStart w:id="186" w:name="_Toc9537822"/>
      <w:r w:rsidRPr="00686018">
        <w:rPr>
          <w:rFonts w:ascii="Times New Roman" w:hAnsi="Times New Roman" w:cs="Times New Roman"/>
          <w:i w:val="0"/>
        </w:rPr>
        <w:t>PROCEDIMIENTO</w:t>
      </w:r>
      <w:bookmarkEnd w:id="184"/>
      <w:bookmarkEnd w:id="185"/>
      <w:bookmarkEnd w:id="186"/>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87" w:name="_Toc9537823"/>
      <w:r w:rsidRPr="00686018">
        <w:rPr>
          <w:rFonts w:ascii="Times New Roman" w:hAnsi="Times New Roman" w:cs="Times New Roman"/>
          <w:i w:val="0"/>
          <w:u w:val="none"/>
        </w:rPr>
        <w:t>Sustratos e inóculo</w:t>
      </w:r>
      <w:bookmarkEnd w:id="187"/>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Las materias primas, tanto residuo ruminal, como paja de trigo se recolect</w:t>
      </w:r>
      <w:r w:rsidR="00CC5E9A" w:rsidRPr="00686018">
        <w:rPr>
          <w:rFonts w:ascii="Times New Roman" w:hAnsi="Times New Roman" w:cs="Times New Roman"/>
          <w:sz w:val="24"/>
          <w:szCs w:val="24"/>
        </w:rPr>
        <w:t xml:space="preserve">aron </w:t>
      </w:r>
      <w:r w:rsidRPr="00686018">
        <w:rPr>
          <w:rFonts w:ascii="Times New Roman" w:hAnsi="Times New Roman" w:cs="Times New Roman"/>
          <w:sz w:val="24"/>
          <w:szCs w:val="24"/>
        </w:rPr>
        <w:t xml:space="preserve">de acuerdo al lugar de abundancia. </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88" w:name="_Toc9537824"/>
      <w:r w:rsidRPr="00686018">
        <w:rPr>
          <w:rFonts w:ascii="Times New Roman" w:hAnsi="Times New Roman" w:cs="Times New Roman"/>
          <w:i w:val="0"/>
        </w:rPr>
        <w:t>Residuo ruminal</w:t>
      </w:r>
      <w:bookmarkEnd w:id="188"/>
    </w:p>
    <w:p w:rsidR="007A41BA"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 EL sustrato princip</w:t>
      </w:r>
      <w:r w:rsidR="00FD32F6" w:rsidRPr="00686018">
        <w:rPr>
          <w:rFonts w:ascii="Times New Roman" w:hAnsi="Times New Roman" w:cs="Times New Roman"/>
          <w:sz w:val="24"/>
        </w:rPr>
        <w:t>a</w:t>
      </w:r>
      <w:r w:rsidR="00CC5E9A" w:rsidRPr="00686018">
        <w:rPr>
          <w:rFonts w:ascii="Times New Roman" w:hAnsi="Times New Roman" w:cs="Times New Roman"/>
          <w:sz w:val="24"/>
        </w:rPr>
        <w:t>l (Residuo ruminal) se recolectó</w:t>
      </w:r>
      <w:r w:rsidR="00363450">
        <w:rPr>
          <w:rFonts w:ascii="Times New Roman" w:hAnsi="Times New Roman" w:cs="Times New Roman"/>
          <w:sz w:val="24"/>
        </w:rPr>
        <w:t xml:space="preserve"> del</w:t>
      </w:r>
      <w:r w:rsidRPr="00686018">
        <w:rPr>
          <w:rFonts w:ascii="Times New Roman" w:hAnsi="Times New Roman" w:cs="Times New Roman"/>
          <w:sz w:val="24"/>
        </w:rPr>
        <w:t xml:space="preserve"> </w:t>
      </w:r>
      <w:r w:rsidR="00363450">
        <w:rPr>
          <w:rFonts w:ascii="Times New Roman" w:hAnsi="Times New Roman" w:cs="Times New Roman"/>
          <w:sz w:val="24"/>
        </w:rPr>
        <w:t>Centro</w:t>
      </w:r>
      <w:r w:rsidRPr="00686018">
        <w:rPr>
          <w:rFonts w:ascii="Times New Roman" w:hAnsi="Times New Roman" w:cs="Times New Roman"/>
          <w:sz w:val="24"/>
        </w:rPr>
        <w:t xml:space="preserve"> </w:t>
      </w:r>
      <w:r w:rsidR="00DD14D0">
        <w:rPr>
          <w:rFonts w:ascii="Times New Roman" w:hAnsi="Times New Roman" w:cs="Times New Roman"/>
          <w:sz w:val="24"/>
        </w:rPr>
        <w:t>de Faenamiento Municipal de la c</w:t>
      </w:r>
      <w:r w:rsidRPr="00686018">
        <w:rPr>
          <w:rFonts w:ascii="Times New Roman" w:hAnsi="Times New Roman" w:cs="Times New Roman"/>
          <w:sz w:val="24"/>
        </w:rPr>
        <w:t>iudad de Guaranda, ubicada</w:t>
      </w:r>
      <w:r w:rsidR="00363450">
        <w:rPr>
          <w:rFonts w:ascii="Times New Roman" w:hAnsi="Times New Roman" w:cs="Times New Roman"/>
          <w:sz w:val="24"/>
        </w:rPr>
        <w:t xml:space="preserve"> en la</w:t>
      </w:r>
      <w:r w:rsidRPr="00686018">
        <w:rPr>
          <w:rFonts w:ascii="Times New Roman" w:hAnsi="Times New Roman" w:cs="Times New Roman"/>
          <w:sz w:val="24"/>
        </w:rPr>
        <w:t xml:space="preserve"> </w:t>
      </w:r>
      <w:r w:rsidR="00363450" w:rsidRPr="00363450">
        <w:rPr>
          <w:rFonts w:ascii="Times New Roman" w:hAnsi="Times New Roman" w:cs="Times New Roman"/>
          <w:sz w:val="24"/>
        </w:rPr>
        <w:t xml:space="preserve">Latitud: 1°35'52.062"S Longitud: 78°59'48.28"O </w:t>
      </w:r>
      <w:r w:rsidR="00363450">
        <w:rPr>
          <w:rFonts w:ascii="Times New Roman" w:hAnsi="Times New Roman" w:cs="Times New Roman"/>
          <w:sz w:val="24"/>
        </w:rPr>
        <w:t xml:space="preserve">a una altura de </w:t>
      </w:r>
      <w:r w:rsidR="00363450" w:rsidRPr="00363450">
        <w:rPr>
          <w:rFonts w:ascii="Times New Roman" w:hAnsi="Times New Roman" w:cs="Times New Roman"/>
          <w:sz w:val="24"/>
        </w:rPr>
        <w:t>2765 m</w:t>
      </w:r>
      <w:r w:rsidR="00363450">
        <w:rPr>
          <w:rFonts w:ascii="Times New Roman" w:hAnsi="Times New Roman" w:cs="Times New Roman"/>
          <w:sz w:val="24"/>
        </w:rPr>
        <w:t>snm</w:t>
      </w:r>
      <w:r w:rsidRPr="00686018">
        <w:rPr>
          <w:rFonts w:ascii="Times New Roman" w:hAnsi="Times New Roman" w:cs="Times New Roman"/>
          <w:sz w:val="24"/>
        </w:rPr>
        <w:t xml:space="preserve">. Este residuo representa la materia en proceso de digestión interrumpida al momento de ser faenado el animal del que procede. La cantidad de vacas faenadas durante los últimos dos años son detalladas en la </w:t>
      </w:r>
      <w:r w:rsidR="00B978E4" w:rsidRPr="00686018">
        <w:rPr>
          <w:rFonts w:ascii="Times New Roman" w:hAnsi="Times New Roman" w:cs="Times New Roman"/>
          <w:b/>
          <w:sz w:val="24"/>
        </w:rPr>
        <w:t>tabla 4</w:t>
      </w:r>
      <w:r w:rsidRPr="00686018">
        <w:rPr>
          <w:rFonts w:ascii="Times New Roman" w:hAnsi="Times New Roman" w:cs="Times New Roman"/>
          <w:sz w:val="24"/>
        </w:rPr>
        <w:t>.</w:t>
      </w:r>
      <w:r w:rsidR="00623E4A" w:rsidRPr="00686018">
        <w:rPr>
          <w:rFonts w:ascii="Times New Roman" w:hAnsi="Times New Roman" w:cs="Times New Roman"/>
          <w:sz w:val="24"/>
        </w:rPr>
        <w:t xml:space="preserve"> La procedencia de los animales se ilustra en la figura 12.</w:t>
      </w:r>
    </w:p>
    <w:p w:rsidR="00DF46F4" w:rsidRPr="00686018" w:rsidRDefault="00DF46F4" w:rsidP="00A31608">
      <w:pPr>
        <w:pStyle w:val="Descripcin"/>
        <w:jc w:val="both"/>
        <w:rPr>
          <w:rFonts w:ascii="Times New Roman" w:hAnsi="Times New Roman" w:cs="Times New Roman"/>
          <w:i w:val="0"/>
          <w:color w:val="auto"/>
        </w:rPr>
      </w:pPr>
      <w:r w:rsidRPr="00686018">
        <w:rPr>
          <w:rFonts w:ascii="Times New Roman" w:hAnsi="Times New Roman" w:cs="Times New Roman"/>
          <w:b/>
          <w:i w:val="0"/>
          <w:color w:val="auto"/>
        </w:rPr>
        <w:t xml:space="preserve">     </w:t>
      </w:r>
      <w:bookmarkStart w:id="189" w:name="_Toc9537907"/>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4</w:t>
      </w:r>
      <w:r w:rsidRPr="00686018">
        <w:rPr>
          <w:rFonts w:ascii="Times New Roman" w:hAnsi="Times New Roman" w:cs="Times New Roman"/>
          <w:b/>
          <w:i w:val="0"/>
          <w:color w:val="auto"/>
        </w:rPr>
        <w:fldChar w:fldCharType="end"/>
      </w:r>
      <w:r w:rsidRPr="00686018">
        <w:rPr>
          <w:rFonts w:ascii="Times New Roman" w:hAnsi="Times New Roman" w:cs="Times New Roman"/>
          <w:i w:val="0"/>
          <w:color w:val="auto"/>
        </w:rPr>
        <w:t xml:space="preserve">. Vacas </w:t>
      </w:r>
      <w:r w:rsidR="007A41BA" w:rsidRPr="00686018">
        <w:rPr>
          <w:rFonts w:ascii="Times New Roman" w:hAnsi="Times New Roman" w:cs="Times New Roman"/>
          <w:i w:val="0"/>
          <w:color w:val="auto"/>
        </w:rPr>
        <w:t>faenadas durante los años 2017 a</w:t>
      </w:r>
      <w:r w:rsidRPr="00686018">
        <w:rPr>
          <w:rFonts w:ascii="Times New Roman" w:hAnsi="Times New Roman" w:cs="Times New Roman"/>
          <w:i w:val="0"/>
          <w:color w:val="auto"/>
        </w:rPr>
        <w:t xml:space="preserve"> 201</w:t>
      </w:r>
      <w:r w:rsidR="007A41BA" w:rsidRPr="00686018">
        <w:rPr>
          <w:rFonts w:ascii="Times New Roman" w:hAnsi="Times New Roman" w:cs="Times New Roman"/>
          <w:i w:val="0"/>
          <w:color w:val="auto"/>
        </w:rPr>
        <w:t>9</w:t>
      </w:r>
      <w:r w:rsidR="00C27A1D" w:rsidRPr="00686018">
        <w:rPr>
          <w:rFonts w:ascii="Times New Roman" w:hAnsi="Times New Roman" w:cs="Times New Roman"/>
          <w:i w:val="0"/>
          <w:color w:val="auto"/>
        </w:rPr>
        <w:t>.</w:t>
      </w:r>
      <w:bookmarkEnd w:id="189"/>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984"/>
        <w:gridCol w:w="1984"/>
        <w:gridCol w:w="1984"/>
      </w:tblGrid>
      <w:tr w:rsidR="007A41BA" w:rsidRPr="00686018" w:rsidTr="00336E31">
        <w:trPr>
          <w:trHeight w:val="306"/>
          <w:jc w:val="center"/>
        </w:trPr>
        <w:tc>
          <w:tcPr>
            <w:tcW w:w="2090" w:type="dxa"/>
            <w:vMerge w:val="restart"/>
            <w:tcBorders>
              <w:top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Mes</w:t>
            </w:r>
          </w:p>
        </w:tc>
        <w:tc>
          <w:tcPr>
            <w:tcW w:w="6270" w:type="dxa"/>
            <w:gridSpan w:val="3"/>
            <w:tcBorders>
              <w:top w:val="single" w:sz="4" w:space="0" w:color="auto"/>
              <w:bottom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Vacas Faenadas</w:t>
            </w:r>
          </w:p>
        </w:tc>
      </w:tr>
      <w:tr w:rsidR="007A41BA" w:rsidRPr="00686018" w:rsidTr="00336E31">
        <w:trPr>
          <w:trHeight w:val="306"/>
          <w:jc w:val="center"/>
        </w:trPr>
        <w:tc>
          <w:tcPr>
            <w:tcW w:w="2090" w:type="dxa"/>
            <w:vMerge/>
            <w:tcBorders>
              <w:bottom w:val="single" w:sz="4" w:space="0" w:color="auto"/>
            </w:tcBorders>
            <w:vAlign w:val="center"/>
            <w:hideMark/>
          </w:tcPr>
          <w:p w:rsidR="007A41BA" w:rsidRPr="00686018" w:rsidRDefault="007A41BA" w:rsidP="00A31608">
            <w:pPr>
              <w:jc w:val="both"/>
              <w:rPr>
                <w:rFonts w:ascii="Times New Roman" w:hAnsi="Times New Roman" w:cs="Times New Roman"/>
                <w:b/>
                <w:bCs/>
                <w:sz w:val="18"/>
                <w:szCs w:val="18"/>
              </w:rPr>
            </w:pPr>
          </w:p>
        </w:tc>
        <w:tc>
          <w:tcPr>
            <w:tcW w:w="2090" w:type="dxa"/>
            <w:tcBorders>
              <w:top w:val="single" w:sz="4" w:space="0" w:color="auto"/>
              <w:bottom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2017</w:t>
            </w:r>
          </w:p>
        </w:tc>
        <w:tc>
          <w:tcPr>
            <w:tcW w:w="2090" w:type="dxa"/>
            <w:tcBorders>
              <w:top w:val="single" w:sz="4" w:space="0" w:color="auto"/>
              <w:bottom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2018</w:t>
            </w:r>
          </w:p>
        </w:tc>
        <w:tc>
          <w:tcPr>
            <w:tcW w:w="2090" w:type="dxa"/>
            <w:tcBorders>
              <w:top w:val="single" w:sz="4" w:space="0" w:color="auto"/>
              <w:bottom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2019</w:t>
            </w:r>
          </w:p>
        </w:tc>
      </w:tr>
      <w:tr w:rsidR="007A41BA" w:rsidRPr="00686018" w:rsidTr="007A41BA">
        <w:trPr>
          <w:trHeight w:val="306"/>
          <w:jc w:val="center"/>
        </w:trPr>
        <w:tc>
          <w:tcPr>
            <w:tcW w:w="2090" w:type="dxa"/>
            <w:tcBorders>
              <w:top w:val="single" w:sz="4" w:space="0" w:color="auto"/>
            </w:tcBorders>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Enero</w:t>
            </w:r>
          </w:p>
        </w:tc>
        <w:tc>
          <w:tcPr>
            <w:tcW w:w="2090" w:type="dxa"/>
            <w:tcBorders>
              <w:top w:val="single" w:sz="4" w:space="0" w:color="auto"/>
            </w:tcBorders>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314</w:t>
            </w:r>
          </w:p>
        </w:tc>
        <w:tc>
          <w:tcPr>
            <w:tcW w:w="2090" w:type="dxa"/>
            <w:tcBorders>
              <w:top w:val="single" w:sz="4" w:space="0" w:color="auto"/>
            </w:tcBorders>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329</w:t>
            </w:r>
          </w:p>
        </w:tc>
        <w:tc>
          <w:tcPr>
            <w:tcW w:w="2090" w:type="dxa"/>
            <w:tcBorders>
              <w:top w:val="single" w:sz="4" w:space="0" w:color="auto"/>
            </w:tcBorders>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305</w:t>
            </w: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Febrero</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274</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245</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276</w:t>
            </w: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Marzo</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300</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315</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Abril</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281</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315</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Mayo</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337</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313</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Junio</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308</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323</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Julio</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327</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303</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Agosto</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334</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315</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Septiembre</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335</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303</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Octubre</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328</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317</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Noviembre</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309</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295</w:t>
            </w:r>
          </w:p>
        </w:tc>
        <w:tc>
          <w:tcPr>
            <w:tcW w:w="2090" w:type="dxa"/>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tcBorders>
              <w:bottom w:val="single" w:sz="4" w:space="0" w:color="auto"/>
            </w:tcBorders>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Diciembre</w:t>
            </w:r>
          </w:p>
        </w:tc>
        <w:tc>
          <w:tcPr>
            <w:tcW w:w="2090" w:type="dxa"/>
            <w:tcBorders>
              <w:bottom w:val="single" w:sz="4" w:space="0" w:color="auto"/>
            </w:tcBorders>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320</w:t>
            </w:r>
          </w:p>
        </w:tc>
        <w:tc>
          <w:tcPr>
            <w:tcW w:w="2090" w:type="dxa"/>
            <w:tcBorders>
              <w:bottom w:val="single" w:sz="4" w:space="0" w:color="auto"/>
            </w:tcBorders>
            <w:noWrap/>
            <w:vAlign w:val="center"/>
            <w:hideMark/>
          </w:tcPr>
          <w:p w:rsidR="007A41BA" w:rsidRPr="00686018" w:rsidRDefault="007A41BA" w:rsidP="00A31608">
            <w:pPr>
              <w:jc w:val="both"/>
              <w:rPr>
                <w:rFonts w:ascii="Times New Roman" w:hAnsi="Times New Roman" w:cs="Times New Roman"/>
                <w:sz w:val="18"/>
                <w:szCs w:val="18"/>
              </w:rPr>
            </w:pPr>
            <w:r w:rsidRPr="00686018">
              <w:rPr>
                <w:rFonts w:ascii="Times New Roman" w:hAnsi="Times New Roman" w:cs="Times New Roman"/>
                <w:sz w:val="18"/>
                <w:szCs w:val="18"/>
              </w:rPr>
              <w:t>294</w:t>
            </w:r>
          </w:p>
        </w:tc>
        <w:tc>
          <w:tcPr>
            <w:tcW w:w="2090" w:type="dxa"/>
            <w:tcBorders>
              <w:bottom w:val="single" w:sz="4" w:space="0" w:color="auto"/>
            </w:tcBorders>
            <w:noWrap/>
            <w:vAlign w:val="center"/>
            <w:hideMark/>
          </w:tcPr>
          <w:p w:rsidR="007A41BA" w:rsidRPr="00686018" w:rsidRDefault="007A41BA" w:rsidP="00A31608">
            <w:pPr>
              <w:jc w:val="both"/>
              <w:rPr>
                <w:rFonts w:ascii="Times New Roman" w:hAnsi="Times New Roman" w:cs="Times New Roman"/>
                <w:sz w:val="18"/>
                <w:szCs w:val="18"/>
              </w:rPr>
            </w:pPr>
          </w:p>
        </w:tc>
      </w:tr>
      <w:tr w:rsidR="007A41BA" w:rsidRPr="00686018" w:rsidTr="007A41BA">
        <w:trPr>
          <w:trHeight w:val="306"/>
          <w:jc w:val="center"/>
        </w:trPr>
        <w:tc>
          <w:tcPr>
            <w:tcW w:w="2090" w:type="dxa"/>
            <w:tcBorders>
              <w:top w:val="single" w:sz="4" w:space="0" w:color="auto"/>
              <w:bottom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Total</w:t>
            </w:r>
          </w:p>
        </w:tc>
        <w:tc>
          <w:tcPr>
            <w:tcW w:w="2090" w:type="dxa"/>
            <w:tcBorders>
              <w:top w:val="single" w:sz="4" w:space="0" w:color="auto"/>
              <w:bottom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3767</w:t>
            </w:r>
          </w:p>
        </w:tc>
        <w:tc>
          <w:tcPr>
            <w:tcW w:w="2090" w:type="dxa"/>
            <w:tcBorders>
              <w:top w:val="single" w:sz="4" w:space="0" w:color="auto"/>
              <w:bottom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3667</w:t>
            </w:r>
          </w:p>
        </w:tc>
        <w:tc>
          <w:tcPr>
            <w:tcW w:w="2090" w:type="dxa"/>
            <w:tcBorders>
              <w:top w:val="single" w:sz="4" w:space="0" w:color="auto"/>
              <w:bottom w:val="single" w:sz="4" w:space="0" w:color="auto"/>
            </w:tcBorders>
            <w:noWrap/>
            <w:vAlign w:val="center"/>
            <w:hideMark/>
          </w:tcPr>
          <w:p w:rsidR="007A41BA" w:rsidRPr="00686018" w:rsidRDefault="007A41BA" w:rsidP="00A31608">
            <w:pPr>
              <w:jc w:val="both"/>
              <w:rPr>
                <w:rFonts w:ascii="Times New Roman" w:hAnsi="Times New Roman" w:cs="Times New Roman"/>
                <w:b/>
                <w:bCs/>
                <w:sz w:val="18"/>
                <w:szCs w:val="18"/>
              </w:rPr>
            </w:pPr>
            <w:r w:rsidRPr="00686018">
              <w:rPr>
                <w:rFonts w:ascii="Times New Roman" w:hAnsi="Times New Roman" w:cs="Times New Roman"/>
                <w:b/>
                <w:bCs/>
                <w:sz w:val="18"/>
                <w:szCs w:val="18"/>
              </w:rPr>
              <w:t>581</w:t>
            </w:r>
          </w:p>
        </w:tc>
      </w:tr>
    </w:tbl>
    <w:p w:rsidR="00DF46F4" w:rsidRPr="00686018" w:rsidRDefault="00DF46F4"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020FD1" w:rsidRPr="00686018" w:rsidRDefault="00020FD1" w:rsidP="00A31608">
      <w:pPr>
        <w:jc w:val="both"/>
        <w:rPr>
          <w:rFonts w:ascii="Times New Roman" w:hAnsi="Times New Roman" w:cs="Times New Roman"/>
          <w:sz w:val="18"/>
        </w:rPr>
      </w:pPr>
    </w:p>
    <w:p w:rsidR="00686018" w:rsidRDefault="00623E4A" w:rsidP="00A31608">
      <w:pPr>
        <w:spacing w:before="360" w:after="360"/>
        <w:jc w:val="both"/>
        <w:rPr>
          <w:rFonts w:ascii="Times New Roman" w:hAnsi="Times New Roman" w:cs="Times New Roman"/>
          <w:b/>
          <w:sz w:val="18"/>
        </w:rPr>
      </w:pPr>
      <w:r w:rsidRPr="00686018">
        <w:rPr>
          <w:rFonts w:ascii="Times New Roman" w:hAnsi="Times New Roman" w:cs="Times New Roman"/>
          <w:noProof/>
          <w:lang w:eastAsia="es-EC"/>
        </w:rPr>
        <w:lastRenderedPageBreak/>
        <w:drawing>
          <wp:inline distT="0" distB="0" distL="0" distR="0" wp14:anchorId="5A7004AF" wp14:editId="167089BD">
            <wp:extent cx="5007935" cy="2743200"/>
            <wp:effectExtent l="0" t="0" r="254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DB1BA1" w:rsidRPr="00686018">
        <w:rPr>
          <w:rFonts w:ascii="Times New Roman" w:hAnsi="Times New Roman" w:cs="Times New Roman"/>
          <w:b/>
          <w:sz w:val="18"/>
        </w:rPr>
        <w:t xml:space="preserve">   </w:t>
      </w:r>
    </w:p>
    <w:p w:rsidR="00686018" w:rsidRPr="00686018" w:rsidRDefault="00B639AA" w:rsidP="00B46DDC">
      <w:pPr>
        <w:pStyle w:val="Descripcin"/>
        <w:jc w:val="center"/>
        <w:rPr>
          <w:rFonts w:ascii="Times New Roman" w:hAnsi="Times New Roman" w:cs="Times New Roman"/>
          <w:i w:val="0"/>
          <w:color w:val="auto"/>
        </w:rPr>
      </w:pPr>
      <w:bookmarkStart w:id="190" w:name="_Toc9537881"/>
      <w:r>
        <w:rPr>
          <w:rFonts w:ascii="Times New Roman" w:hAnsi="Times New Roman" w:cs="Times New Roman"/>
          <w:b/>
          <w:i w:val="0"/>
          <w:color w:val="auto"/>
        </w:rPr>
        <w:t>Figura</w:t>
      </w:r>
      <w:r w:rsidR="00686018" w:rsidRPr="00686018">
        <w:rPr>
          <w:rFonts w:ascii="Times New Roman" w:hAnsi="Times New Roman" w:cs="Times New Roman"/>
          <w:b/>
          <w:i w:val="0"/>
          <w:color w:val="auto"/>
        </w:rPr>
        <w:t xml:space="preserve"> </w:t>
      </w:r>
      <w:r w:rsidR="00686018" w:rsidRPr="00686018">
        <w:rPr>
          <w:rFonts w:ascii="Times New Roman" w:hAnsi="Times New Roman" w:cs="Times New Roman"/>
          <w:b/>
          <w:i w:val="0"/>
          <w:color w:val="auto"/>
        </w:rPr>
        <w:fldChar w:fldCharType="begin"/>
      </w:r>
      <w:r w:rsidR="00686018" w:rsidRPr="00686018">
        <w:rPr>
          <w:rFonts w:ascii="Times New Roman" w:hAnsi="Times New Roman" w:cs="Times New Roman"/>
          <w:b/>
          <w:i w:val="0"/>
          <w:color w:val="auto"/>
        </w:rPr>
        <w:instrText xml:space="preserve"> SEQ Figure \* ARABIC </w:instrText>
      </w:r>
      <w:r w:rsidR="00686018"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13</w:t>
      </w:r>
      <w:r w:rsidR="00686018" w:rsidRPr="00686018">
        <w:rPr>
          <w:rFonts w:ascii="Times New Roman" w:hAnsi="Times New Roman" w:cs="Times New Roman"/>
          <w:b/>
          <w:i w:val="0"/>
          <w:color w:val="auto"/>
        </w:rPr>
        <w:fldChar w:fldCharType="end"/>
      </w:r>
      <w:r w:rsidR="00686018" w:rsidRPr="00686018">
        <w:rPr>
          <w:rFonts w:ascii="Times New Roman" w:hAnsi="Times New Roman" w:cs="Times New Roman"/>
          <w:b/>
          <w:i w:val="0"/>
          <w:color w:val="auto"/>
        </w:rPr>
        <w:t>.</w:t>
      </w:r>
      <w:r w:rsidR="00686018" w:rsidRPr="00686018">
        <w:rPr>
          <w:rFonts w:ascii="Times New Roman" w:hAnsi="Times New Roman" w:cs="Times New Roman"/>
          <w:i w:val="0"/>
          <w:color w:val="auto"/>
        </w:rPr>
        <w:t xml:space="preserve"> Procedencia del ganado vacuno a ser faenado.</w:t>
      </w:r>
      <w:bookmarkEnd w:id="190"/>
    </w:p>
    <w:p w:rsidR="00623E4A" w:rsidRPr="00686018" w:rsidRDefault="00623E4A" w:rsidP="00B46DDC">
      <w:pPr>
        <w:spacing w:after="360"/>
        <w:jc w:val="center"/>
        <w:rPr>
          <w:rFonts w:ascii="Times New Roman" w:hAnsi="Times New Roman" w:cs="Times New Roman"/>
          <w:sz w:val="24"/>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 xml:space="preserve">Elaborado con base en </w:t>
      </w:r>
      <w:r w:rsidR="001361D2" w:rsidRPr="00686018">
        <w:rPr>
          <w:rFonts w:ascii="Times New Roman" w:hAnsi="Times New Roman" w:cs="Times New Roman"/>
          <w:sz w:val="18"/>
        </w:rPr>
        <w:t>Camal Municipal de Guaranda, 2019.</w:t>
      </w:r>
    </w:p>
    <w:p w:rsidR="00990717" w:rsidRPr="00686018" w:rsidRDefault="00990717" w:rsidP="00A31608">
      <w:pPr>
        <w:spacing w:before="360" w:after="360"/>
        <w:jc w:val="both"/>
        <w:rPr>
          <w:rFonts w:ascii="Times New Roman" w:hAnsi="Times New Roman" w:cs="Times New Roman"/>
          <w:sz w:val="24"/>
        </w:rPr>
      </w:pPr>
      <w:r w:rsidRPr="00686018">
        <w:rPr>
          <w:rFonts w:ascii="Times New Roman" w:hAnsi="Times New Roman" w:cs="Times New Roman"/>
          <w:sz w:val="24"/>
        </w:rPr>
        <w:t xml:space="preserve">El camal municipal realiza el </w:t>
      </w:r>
      <w:r w:rsidR="00C91303">
        <w:rPr>
          <w:rFonts w:ascii="Times New Roman" w:hAnsi="Times New Roman" w:cs="Times New Roman"/>
          <w:sz w:val="24"/>
        </w:rPr>
        <w:t>f</w:t>
      </w:r>
      <w:r w:rsidR="00197546" w:rsidRPr="00686018">
        <w:rPr>
          <w:rFonts w:ascii="Times New Roman" w:hAnsi="Times New Roman" w:cs="Times New Roman"/>
          <w:sz w:val="24"/>
        </w:rPr>
        <w:t>aenamiento</w:t>
      </w:r>
      <w:r w:rsidRPr="00686018">
        <w:rPr>
          <w:rFonts w:ascii="Times New Roman" w:hAnsi="Times New Roman" w:cs="Times New Roman"/>
          <w:sz w:val="24"/>
        </w:rPr>
        <w:t xml:space="preserve"> del ganado vacuno durante los 6 días de la semana</w:t>
      </w:r>
      <w:r w:rsidR="00C27A1D" w:rsidRPr="00686018">
        <w:rPr>
          <w:rFonts w:ascii="Times New Roman" w:hAnsi="Times New Roman" w:cs="Times New Roman"/>
          <w:sz w:val="24"/>
        </w:rPr>
        <w:t xml:space="preserve"> d</w:t>
      </w:r>
      <w:r w:rsidRPr="00686018">
        <w:rPr>
          <w:rFonts w:ascii="Times New Roman" w:hAnsi="Times New Roman" w:cs="Times New Roman"/>
          <w:sz w:val="24"/>
        </w:rPr>
        <w:t xml:space="preserve">e acuerdo a la </w:t>
      </w:r>
      <w:r w:rsidR="004E4504" w:rsidRPr="00686018">
        <w:rPr>
          <w:rFonts w:ascii="Times New Roman" w:hAnsi="Times New Roman" w:cs="Times New Roman"/>
          <w:sz w:val="24"/>
        </w:rPr>
        <w:t>descripción</w:t>
      </w:r>
      <w:r w:rsidRPr="00686018">
        <w:rPr>
          <w:rFonts w:ascii="Times New Roman" w:hAnsi="Times New Roman" w:cs="Times New Roman"/>
          <w:sz w:val="24"/>
        </w:rPr>
        <w:t xml:space="preserve"> siguiente:</w:t>
      </w:r>
    </w:p>
    <w:p w:rsidR="00C27A1D" w:rsidRPr="00686018" w:rsidRDefault="00C27A1D" w:rsidP="00A31608">
      <w:pPr>
        <w:pStyle w:val="Descripcin"/>
        <w:jc w:val="both"/>
        <w:rPr>
          <w:rFonts w:ascii="Times New Roman" w:hAnsi="Times New Roman" w:cs="Times New Roman"/>
          <w:i w:val="0"/>
          <w:color w:val="auto"/>
          <w:sz w:val="24"/>
        </w:rPr>
      </w:pPr>
      <w:bookmarkStart w:id="191" w:name="_Toc9537908"/>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5</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Cantidad de vacas faenadas diariamente.</w:t>
      </w:r>
      <w:bookmarkEnd w:id="191"/>
    </w:p>
    <w:tbl>
      <w:tblPr>
        <w:tblW w:w="7894" w:type="dxa"/>
        <w:jc w:val="center"/>
        <w:tblCellMar>
          <w:left w:w="70" w:type="dxa"/>
          <w:right w:w="70" w:type="dxa"/>
        </w:tblCellMar>
        <w:tblLook w:val="04A0" w:firstRow="1" w:lastRow="0" w:firstColumn="1" w:lastColumn="0" w:noHBand="0" w:noVBand="1"/>
      </w:tblPr>
      <w:tblGrid>
        <w:gridCol w:w="2960"/>
        <w:gridCol w:w="4934"/>
      </w:tblGrid>
      <w:tr w:rsidR="00990717" w:rsidRPr="00686018" w:rsidTr="002B5EB6">
        <w:trPr>
          <w:trHeight w:val="414"/>
          <w:jc w:val="center"/>
        </w:trPr>
        <w:tc>
          <w:tcPr>
            <w:tcW w:w="2960" w:type="dxa"/>
            <w:tcBorders>
              <w:top w:val="single" w:sz="4" w:space="0" w:color="auto"/>
              <w:bottom w:val="single" w:sz="4" w:space="0" w:color="auto"/>
            </w:tcBorders>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Día</w:t>
            </w:r>
          </w:p>
        </w:tc>
        <w:tc>
          <w:tcPr>
            <w:tcW w:w="4934" w:type="dxa"/>
            <w:tcBorders>
              <w:top w:val="single" w:sz="4" w:space="0" w:color="auto"/>
              <w:bottom w:val="single" w:sz="4" w:space="0" w:color="auto"/>
            </w:tcBorders>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N° de vacas faenadas</w:t>
            </w:r>
          </w:p>
        </w:tc>
      </w:tr>
      <w:tr w:rsidR="00990717" w:rsidRPr="00686018" w:rsidTr="002B5EB6">
        <w:trPr>
          <w:trHeight w:val="414"/>
          <w:jc w:val="center"/>
        </w:trPr>
        <w:tc>
          <w:tcPr>
            <w:tcW w:w="2960" w:type="dxa"/>
            <w:tcBorders>
              <w:top w:val="single" w:sz="4" w:space="0" w:color="auto"/>
            </w:tcBorders>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Lunes</w:t>
            </w:r>
          </w:p>
        </w:tc>
        <w:tc>
          <w:tcPr>
            <w:tcW w:w="4934" w:type="dxa"/>
            <w:tcBorders>
              <w:top w:val="single" w:sz="4" w:space="0" w:color="auto"/>
            </w:tcBorders>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14-15</w:t>
            </w:r>
          </w:p>
        </w:tc>
      </w:tr>
      <w:tr w:rsidR="00990717" w:rsidRPr="00686018" w:rsidTr="002B5EB6">
        <w:trPr>
          <w:trHeight w:val="414"/>
          <w:jc w:val="center"/>
        </w:trPr>
        <w:tc>
          <w:tcPr>
            <w:tcW w:w="2960" w:type="dxa"/>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Martes</w:t>
            </w:r>
          </w:p>
        </w:tc>
        <w:tc>
          <w:tcPr>
            <w:tcW w:w="4934" w:type="dxa"/>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w:t>
            </w:r>
          </w:p>
        </w:tc>
      </w:tr>
      <w:tr w:rsidR="00990717" w:rsidRPr="00686018" w:rsidTr="002B5EB6">
        <w:trPr>
          <w:trHeight w:val="414"/>
          <w:jc w:val="center"/>
        </w:trPr>
        <w:tc>
          <w:tcPr>
            <w:tcW w:w="2960" w:type="dxa"/>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Miércoles</w:t>
            </w:r>
          </w:p>
        </w:tc>
        <w:tc>
          <w:tcPr>
            <w:tcW w:w="4934" w:type="dxa"/>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14-15</w:t>
            </w:r>
          </w:p>
        </w:tc>
      </w:tr>
      <w:tr w:rsidR="00990717" w:rsidRPr="00686018" w:rsidTr="002B5EB6">
        <w:trPr>
          <w:trHeight w:val="414"/>
          <w:jc w:val="center"/>
        </w:trPr>
        <w:tc>
          <w:tcPr>
            <w:tcW w:w="2960" w:type="dxa"/>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Jueves</w:t>
            </w:r>
          </w:p>
        </w:tc>
        <w:tc>
          <w:tcPr>
            <w:tcW w:w="4934" w:type="dxa"/>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w:t>
            </w:r>
          </w:p>
        </w:tc>
      </w:tr>
      <w:tr w:rsidR="00990717" w:rsidRPr="00686018" w:rsidTr="002B5EB6">
        <w:trPr>
          <w:trHeight w:val="414"/>
          <w:jc w:val="center"/>
        </w:trPr>
        <w:tc>
          <w:tcPr>
            <w:tcW w:w="2960" w:type="dxa"/>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Viernes</w:t>
            </w:r>
          </w:p>
        </w:tc>
        <w:tc>
          <w:tcPr>
            <w:tcW w:w="4934" w:type="dxa"/>
            <w:vMerge w:val="restart"/>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14-15</w:t>
            </w:r>
          </w:p>
        </w:tc>
      </w:tr>
      <w:tr w:rsidR="00990717" w:rsidRPr="00686018" w:rsidTr="002B5EB6">
        <w:trPr>
          <w:trHeight w:val="414"/>
          <w:jc w:val="center"/>
        </w:trPr>
        <w:tc>
          <w:tcPr>
            <w:tcW w:w="2960" w:type="dxa"/>
            <w:tcBorders>
              <w:bottom w:val="single" w:sz="4" w:space="0" w:color="auto"/>
            </w:tcBorders>
            <w:shd w:val="clear" w:color="auto" w:fill="auto"/>
            <w:noWrap/>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Sábado</w:t>
            </w:r>
          </w:p>
        </w:tc>
        <w:tc>
          <w:tcPr>
            <w:tcW w:w="4934" w:type="dxa"/>
            <w:vMerge/>
            <w:tcBorders>
              <w:bottom w:val="single" w:sz="4" w:space="0" w:color="auto"/>
            </w:tcBorders>
            <w:vAlign w:val="center"/>
            <w:hideMark/>
          </w:tcPr>
          <w:p w:rsidR="00990717" w:rsidRPr="00686018" w:rsidRDefault="00990717" w:rsidP="002B5EB6">
            <w:pPr>
              <w:spacing w:after="0" w:line="240" w:lineRule="auto"/>
              <w:jc w:val="center"/>
              <w:rPr>
                <w:rFonts w:ascii="Times New Roman" w:eastAsia="Times New Roman" w:hAnsi="Times New Roman" w:cs="Times New Roman"/>
                <w:color w:val="000000"/>
                <w:sz w:val="18"/>
                <w:szCs w:val="18"/>
                <w:lang w:eastAsia="es-EC"/>
              </w:rPr>
            </w:pPr>
          </w:p>
        </w:tc>
      </w:tr>
    </w:tbl>
    <w:p w:rsidR="00990717" w:rsidRPr="00686018" w:rsidRDefault="00C27A1D"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FD32F6" w:rsidRPr="00686018" w:rsidRDefault="00FD32F6" w:rsidP="00A31608">
      <w:p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Se recolecto 500g de residuo ruminal para realizar los análisis proximal y elemental. Una vez obtenidos los análisis, nuevamente se tomó una muestra de 1kg que fue destinado al montaje de los digestores con los cálculos respectivos de materia húmeda indicada en la </w:t>
      </w:r>
      <w:r w:rsidRPr="00686018">
        <w:rPr>
          <w:rFonts w:ascii="Times New Roman" w:hAnsi="Times New Roman" w:cs="Times New Roman"/>
          <w:b/>
          <w:sz w:val="24"/>
          <w:szCs w:val="24"/>
        </w:rPr>
        <w:t>sección 4.4.5</w:t>
      </w:r>
      <w:r w:rsidR="00686018">
        <w:rPr>
          <w:rFonts w:ascii="Times New Roman" w:hAnsi="Times New Roman" w:cs="Times New Roman"/>
          <w:b/>
          <w:sz w:val="24"/>
          <w:szCs w:val="24"/>
        </w:rPr>
        <w:t xml:space="preserve">. </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92" w:name="_Toc9537825"/>
      <w:r w:rsidRPr="00686018">
        <w:rPr>
          <w:rFonts w:ascii="Times New Roman" w:hAnsi="Times New Roman" w:cs="Times New Roman"/>
          <w:i w:val="0"/>
        </w:rPr>
        <w:t>Paja de Trigo.</w:t>
      </w:r>
      <w:bookmarkEnd w:id="192"/>
      <w:r w:rsidRPr="00686018">
        <w:rPr>
          <w:rFonts w:ascii="Times New Roman" w:hAnsi="Times New Roman" w:cs="Times New Roman"/>
          <w:i w:val="0"/>
        </w:rPr>
        <w:t xml:space="preserve"> </w:t>
      </w:r>
    </w:p>
    <w:p w:rsidR="00B330B3" w:rsidRPr="00686018" w:rsidRDefault="00973AF5" w:rsidP="00A31608">
      <w:pPr>
        <w:jc w:val="both"/>
        <w:rPr>
          <w:rFonts w:ascii="Times New Roman" w:hAnsi="Times New Roman" w:cs="Times New Roman"/>
          <w:sz w:val="24"/>
          <w:szCs w:val="24"/>
        </w:rPr>
      </w:pPr>
      <w:r w:rsidRPr="00686018">
        <w:rPr>
          <w:rFonts w:ascii="Times New Roman" w:hAnsi="Times New Roman" w:cs="Times New Roman"/>
          <w:sz w:val="24"/>
          <w:szCs w:val="24"/>
        </w:rPr>
        <w:t>La paja empleada en este estudio fue obtenida de la</w:t>
      </w:r>
      <w:r w:rsidR="00DC759C" w:rsidRPr="00686018">
        <w:rPr>
          <w:rFonts w:ascii="Times New Roman" w:hAnsi="Times New Roman" w:cs="Times New Roman"/>
          <w:sz w:val="24"/>
          <w:szCs w:val="24"/>
        </w:rPr>
        <w:t xml:space="preserve"> cosechad</w:t>
      </w:r>
      <w:r w:rsidR="00B330B3" w:rsidRPr="00686018">
        <w:rPr>
          <w:rFonts w:ascii="Times New Roman" w:hAnsi="Times New Roman" w:cs="Times New Roman"/>
          <w:sz w:val="24"/>
          <w:szCs w:val="24"/>
        </w:rPr>
        <w:t>a</w:t>
      </w:r>
      <w:r w:rsidR="00DC759C" w:rsidRPr="00686018">
        <w:rPr>
          <w:rFonts w:ascii="Times New Roman" w:hAnsi="Times New Roman" w:cs="Times New Roman"/>
          <w:sz w:val="24"/>
          <w:szCs w:val="24"/>
        </w:rPr>
        <w:t xml:space="preserve"> en </w:t>
      </w:r>
      <w:r w:rsidR="00B330B3" w:rsidRPr="00686018">
        <w:rPr>
          <w:rFonts w:ascii="Times New Roman" w:hAnsi="Times New Roman" w:cs="Times New Roman"/>
          <w:sz w:val="24"/>
          <w:szCs w:val="24"/>
        </w:rPr>
        <w:t>los c</w:t>
      </w:r>
      <w:r w:rsidR="005F62EF" w:rsidRPr="00686018">
        <w:rPr>
          <w:rFonts w:ascii="Times New Roman" w:hAnsi="Times New Roman" w:cs="Times New Roman"/>
          <w:sz w:val="24"/>
          <w:szCs w:val="24"/>
        </w:rPr>
        <w:t>ampos del Laguacoto II pertenecientes</w:t>
      </w:r>
      <w:r w:rsidR="00B330B3" w:rsidRPr="00686018">
        <w:rPr>
          <w:rFonts w:ascii="Times New Roman" w:hAnsi="Times New Roman" w:cs="Times New Roman"/>
          <w:sz w:val="24"/>
          <w:szCs w:val="24"/>
        </w:rPr>
        <w:t xml:space="preserve"> a la v</w:t>
      </w:r>
      <w:r w:rsidR="00DC759C" w:rsidRPr="00686018">
        <w:rPr>
          <w:rFonts w:ascii="Times New Roman" w:hAnsi="Times New Roman" w:cs="Times New Roman"/>
          <w:sz w:val="24"/>
          <w:szCs w:val="24"/>
        </w:rPr>
        <w:t>ariedad UEBCARNAVALERO</w:t>
      </w:r>
      <w:r w:rsidR="00B330B3" w:rsidRPr="00686018">
        <w:rPr>
          <w:rFonts w:ascii="Times New Roman" w:hAnsi="Times New Roman" w:cs="Times New Roman"/>
          <w:sz w:val="24"/>
          <w:szCs w:val="24"/>
        </w:rPr>
        <w:t xml:space="preserve"> con un </w:t>
      </w:r>
      <w:r w:rsidR="00B330B3" w:rsidRPr="00686018">
        <w:rPr>
          <w:rFonts w:ascii="Times New Roman" w:hAnsi="Times New Roman" w:cs="Times New Roman"/>
          <w:sz w:val="24"/>
          <w:szCs w:val="24"/>
        </w:rPr>
        <w:lastRenderedPageBreak/>
        <w:t xml:space="preserve">rendimiento promedio de </w:t>
      </w:r>
      <w:r w:rsidR="00DC759C" w:rsidRPr="00686018">
        <w:rPr>
          <w:rFonts w:ascii="Times New Roman" w:hAnsi="Times New Roman" w:cs="Times New Roman"/>
          <w:sz w:val="24"/>
          <w:szCs w:val="24"/>
        </w:rPr>
        <w:t>3494,7 kg/ha</w:t>
      </w:r>
      <w:r w:rsidR="00B330B3" w:rsidRPr="00686018">
        <w:rPr>
          <w:rFonts w:ascii="Times New Roman" w:hAnsi="Times New Roman" w:cs="Times New Roman"/>
          <w:sz w:val="24"/>
          <w:szCs w:val="24"/>
        </w:rPr>
        <w:t xml:space="preserve">. </w:t>
      </w:r>
      <w:r w:rsidR="005F62EF" w:rsidRPr="00686018">
        <w:rPr>
          <w:rFonts w:ascii="Times New Roman" w:hAnsi="Times New Roman" w:cs="Times New Roman"/>
          <w:sz w:val="24"/>
          <w:szCs w:val="24"/>
        </w:rPr>
        <w:t>Se recolectaron 3kg de paja en bolsas plásticas y trasladadas al laboratorio para su posterior triturado; el triturado se realizó con un molino mecánico, llegando a tener un tamaño de partícula de 2 a 3 mm. La paja triturada fue luego empleada para los análisis proximal y elemental. Una parte fue almacenada en bolsas bien selladas para evitar que capten humedad, esta fue utilizada para la distribución a los digestores a razones diferentes de RE y TR</w:t>
      </w:r>
      <w:r w:rsidR="00FD32F6" w:rsidRPr="00686018">
        <w:rPr>
          <w:rFonts w:ascii="Times New Roman" w:hAnsi="Times New Roman" w:cs="Times New Roman"/>
          <w:sz w:val="24"/>
          <w:szCs w:val="24"/>
        </w:rPr>
        <w:t xml:space="preserve"> </w:t>
      </w:r>
      <w:r w:rsidR="00FD32F6" w:rsidRPr="00686018">
        <w:rPr>
          <w:rFonts w:ascii="Times New Roman" w:hAnsi="Times New Roman" w:cs="Times New Roman"/>
          <w:b/>
          <w:sz w:val="24"/>
          <w:szCs w:val="24"/>
        </w:rPr>
        <w:t>(sección 4.4.5)</w:t>
      </w:r>
      <w:r w:rsidR="005F62EF" w:rsidRPr="00686018">
        <w:rPr>
          <w:rFonts w:ascii="Times New Roman" w:hAnsi="Times New Roman" w:cs="Times New Roman"/>
          <w:sz w:val="24"/>
          <w:szCs w:val="24"/>
        </w:rPr>
        <w:t>.</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93" w:name="_Toc9537826"/>
      <w:r w:rsidRPr="00686018">
        <w:rPr>
          <w:rFonts w:ascii="Times New Roman" w:hAnsi="Times New Roman" w:cs="Times New Roman"/>
          <w:i w:val="0"/>
        </w:rPr>
        <w:t>Inóculo</w:t>
      </w:r>
      <w:bookmarkEnd w:id="193"/>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El inoculo proviene </w:t>
      </w:r>
      <w:r w:rsidR="00DD14D0">
        <w:rPr>
          <w:rFonts w:ascii="Times New Roman" w:hAnsi="Times New Roman" w:cs="Times New Roman"/>
          <w:sz w:val="24"/>
        </w:rPr>
        <w:t>de la Planta de tratamiento de a</w:t>
      </w:r>
      <w:r w:rsidRPr="00686018">
        <w:rPr>
          <w:rFonts w:ascii="Times New Roman" w:hAnsi="Times New Roman" w:cs="Times New Roman"/>
          <w:sz w:val="24"/>
        </w:rPr>
        <w:t>guas residuales de la ciud</w:t>
      </w:r>
      <w:r w:rsidR="00F734D9" w:rsidRPr="00686018">
        <w:rPr>
          <w:rFonts w:ascii="Times New Roman" w:hAnsi="Times New Roman" w:cs="Times New Roman"/>
          <w:sz w:val="24"/>
        </w:rPr>
        <w:t xml:space="preserve">ad de </w:t>
      </w:r>
      <w:r w:rsidR="00F734D9" w:rsidRPr="002B7CEA">
        <w:rPr>
          <w:rFonts w:ascii="Times New Roman" w:hAnsi="Times New Roman" w:cs="Times New Roman"/>
          <w:color w:val="000000" w:themeColor="text1"/>
          <w:sz w:val="24"/>
        </w:rPr>
        <w:t>Ibarra</w:t>
      </w:r>
      <w:r w:rsidR="00363450" w:rsidRPr="002B7CEA">
        <w:rPr>
          <w:rFonts w:ascii="Times New Roman" w:hAnsi="Times New Roman" w:cs="Times New Roman"/>
          <w:color w:val="000000" w:themeColor="text1"/>
          <w:sz w:val="24"/>
        </w:rPr>
        <w:t xml:space="preserve"> ubicada en el </w:t>
      </w:r>
      <w:r w:rsidR="002B7CEA" w:rsidRPr="002B7CEA">
        <w:rPr>
          <w:rFonts w:ascii="Times New Roman" w:hAnsi="Times New Roman" w:cs="Times New Roman"/>
          <w:color w:val="000000" w:themeColor="text1"/>
          <w:sz w:val="24"/>
        </w:rPr>
        <w:t>R</w:t>
      </w:r>
      <w:r w:rsidR="00363450" w:rsidRPr="002B7CEA">
        <w:rPr>
          <w:rFonts w:ascii="Times New Roman" w:hAnsi="Times New Roman" w:cs="Times New Roman"/>
          <w:color w:val="000000" w:themeColor="text1"/>
          <w:sz w:val="24"/>
        </w:rPr>
        <w:t>ío Tahuando</w:t>
      </w:r>
      <w:r w:rsidR="002B7CEA" w:rsidRPr="002B7CEA">
        <w:rPr>
          <w:rFonts w:ascii="Times New Roman" w:hAnsi="Times New Roman" w:cs="Times New Roman"/>
          <w:color w:val="000000" w:themeColor="text1"/>
          <w:sz w:val="24"/>
        </w:rPr>
        <w:t>, Latitud: 0°21'26.205"N Longitud: 78°6'50.626"O a una altitud de 2224 msnm.</w:t>
      </w:r>
      <w:r w:rsidR="00F734D9" w:rsidRPr="002B7CEA">
        <w:rPr>
          <w:rFonts w:ascii="Times New Roman" w:hAnsi="Times New Roman" w:cs="Times New Roman"/>
          <w:color w:val="000000" w:themeColor="text1"/>
          <w:sz w:val="24"/>
        </w:rPr>
        <w:t xml:space="preserve"> </w:t>
      </w:r>
      <w:r w:rsidR="00F734D9" w:rsidRPr="00686018">
        <w:rPr>
          <w:rFonts w:ascii="Times New Roman" w:hAnsi="Times New Roman" w:cs="Times New Roman"/>
          <w:sz w:val="24"/>
        </w:rPr>
        <w:t xml:space="preserve">La planta </w:t>
      </w:r>
      <w:r w:rsidRPr="00686018">
        <w:rPr>
          <w:rFonts w:ascii="Times New Roman" w:hAnsi="Times New Roman" w:cs="Times New Roman"/>
          <w:sz w:val="24"/>
        </w:rPr>
        <w:t xml:space="preserve">trata residuos sólidos urbanos de 125000 </w:t>
      </w:r>
      <w:r w:rsidR="004E4504" w:rsidRPr="00686018">
        <w:rPr>
          <w:rFonts w:ascii="Times New Roman" w:hAnsi="Times New Roman" w:cs="Times New Roman"/>
          <w:sz w:val="24"/>
        </w:rPr>
        <w:t>habitantes equivalentes</w:t>
      </w:r>
      <w:r w:rsidRPr="00686018">
        <w:rPr>
          <w:rFonts w:ascii="Times New Roman" w:hAnsi="Times New Roman" w:cs="Times New Roman"/>
          <w:sz w:val="24"/>
        </w:rPr>
        <w:t xml:space="preserve"> con un caudal de entrada de 43200m</w:t>
      </w:r>
      <w:r w:rsidRPr="00686018">
        <w:rPr>
          <w:rFonts w:ascii="Times New Roman" w:hAnsi="Times New Roman" w:cs="Times New Roman"/>
          <w:sz w:val="24"/>
          <w:vertAlign w:val="superscript"/>
        </w:rPr>
        <w:t>3</w:t>
      </w:r>
      <w:r w:rsidRPr="00686018">
        <w:rPr>
          <w:rFonts w:ascii="Times New Roman" w:hAnsi="Times New Roman" w:cs="Times New Roman"/>
          <w:sz w:val="24"/>
        </w:rPr>
        <w:t>dia</w:t>
      </w:r>
      <w:r w:rsidRPr="00686018">
        <w:rPr>
          <w:rFonts w:ascii="Times New Roman" w:hAnsi="Times New Roman" w:cs="Times New Roman"/>
          <w:sz w:val="24"/>
          <w:vertAlign w:val="superscript"/>
        </w:rPr>
        <w:t>-1</w:t>
      </w:r>
      <w:r w:rsidRPr="00686018">
        <w:rPr>
          <w:rFonts w:ascii="Times New Roman" w:hAnsi="Times New Roman" w:cs="Times New Roman"/>
          <w:sz w:val="24"/>
        </w:rPr>
        <w:t>. El proceso de tratamiento de aguas residuales comprende las siguientes etapas:</w:t>
      </w:r>
    </w:p>
    <w:p w:rsidR="00DF46F4" w:rsidRPr="00686018" w:rsidRDefault="00DF46F4" w:rsidP="00A31608">
      <w:pPr>
        <w:pStyle w:val="Prrafodelista"/>
        <w:numPr>
          <w:ilvl w:val="0"/>
          <w:numId w:val="31"/>
        </w:numPr>
        <w:jc w:val="both"/>
        <w:rPr>
          <w:rFonts w:ascii="Times New Roman" w:hAnsi="Times New Roman" w:cs="Times New Roman"/>
          <w:sz w:val="24"/>
        </w:rPr>
      </w:pPr>
      <w:r w:rsidRPr="00686018">
        <w:rPr>
          <w:rFonts w:ascii="Times New Roman" w:hAnsi="Times New Roman" w:cs="Times New Roman"/>
          <w:sz w:val="24"/>
        </w:rPr>
        <w:t>Línea de Fangos</w:t>
      </w:r>
    </w:p>
    <w:p w:rsidR="00DF46F4" w:rsidRPr="00686018" w:rsidRDefault="00DF46F4" w:rsidP="00A31608">
      <w:pPr>
        <w:pStyle w:val="Prrafodelista"/>
        <w:numPr>
          <w:ilvl w:val="0"/>
          <w:numId w:val="31"/>
        </w:numPr>
        <w:jc w:val="both"/>
        <w:rPr>
          <w:rFonts w:ascii="Times New Roman" w:hAnsi="Times New Roman" w:cs="Times New Roman"/>
          <w:sz w:val="24"/>
        </w:rPr>
      </w:pPr>
      <w:r w:rsidRPr="00686018">
        <w:rPr>
          <w:rFonts w:ascii="Times New Roman" w:hAnsi="Times New Roman" w:cs="Times New Roman"/>
          <w:sz w:val="24"/>
        </w:rPr>
        <w:t>Decantador primario</w:t>
      </w:r>
    </w:p>
    <w:p w:rsidR="00DF46F4" w:rsidRPr="00686018" w:rsidRDefault="00DF46F4" w:rsidP="00A31608">
      <w:pPr>
        <w:pStyle w:val="Prrafodelista"/>
        <w:numPr>
          <w:ilvl w:val="0"/>
          <w:numId w:val="31"/>
        </w:numPr>
        <w:jc w:val="both"/>
        <w:rPr>
          <w:rFonts w:ascii="Times New Roman" w:hAnsi="Times New Roman" w:cs="Times New Roman"/>
          <w:sz w:val="24"/>
        </w:rPr>
      </w:pPr>
      <w:r w:rsidRPr="00686018">
        <w:rPr>
          <w:rFonts w:ascii="Times New Roman" w:hAnsi="Times New Roman" w:cs="Times New Roman"/>
          <w:sz w:val="24"/>
        </w:rPr>
        <w:t>Decantador secundario</w:t>
      </w:r>
    </w:p>
    <w:p w:rsidR="00DF46F4" w:rsidRPr="00686018" w:rsidRDefault="00DF46F4" w:rsidP="00A31608">
      <w:pPr>
        <w:pStyle w:val="Prrafodelista"/>
        <w:numPr>
          <w:ilvl w:val="0"/>
          <w:numId w:val="31"/>
        </w:numPr>
        <w:jc w:val="both"/>
        <w:rPr>
          <w:rFonts w:ascii="Times New Roman" w:hAnsi="Times New Roman" w:cs="Times New Roman"/>
          <w:sz w:val="24"/>
        </w:rPr>
      </w:pPr>
      <w:r w:rsidRPr="00686018">
        <w:rPr>
          <w:rFonts w:ascii="Times New Roman" w:hAnsi="Times New Roman" w:cs="Times New Roman"/>
          <w:sz w:val="24"/>
        </w:rPr>
        <w:t>Espesado</w:t>
      </w:r>
    </w:p>
    <w:p w:rsidR="00DF46F4" w:rsidRPr="00686018" w:rsidRDefault="00DF46F4" w:rsidP="00A31608">
      <w:pPr>
        <w:pStyle w:val="Prrafodelista"/>
        <w:numPr>
          <w:ilvl w:val="0"/>
          <w:numId w:val="31"/>
        </w:numPr>
        <w:jc w:val="both"/>
        <w:rPr>
          <w:rFonts w:ascii="Times New Roman" w:hAnsi="Times New Roman" w:cs="Times New Roman"/>
          <w:sz w:val="24"/>
        </w:rPr>
      </w:pPr>
      <w:r w:rsidRPr="00686018">
        <w:rPr>
          <w:rFonts w:ascii="Times New Roman" w:hAnsi="Times New Roman" w:cs="Times New Roman"/>
          <w:sz w:val="24"/>
        </w:rPr>
        <w:t>Digestión</w:t>
      </w:r>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Las instalaciones se abastecen con un 30% de energía eléctrica proveniente del biogás obtenido a partir de la digestión anaerobia del lodo espesado, el cual contiene 60% de metano.</w:t>
      </w:r>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El inóculo es extraído del digestor y transportado en botellones de 10L para su posterior </w:t>
      </w:r>
      <w:r w:rsidR="005F62EF" w:rsidRPr="00686018">
        <w:rPr>
          <w:rFonts w:ascii="Times New Roman" w:hAnsi="Times New Roman" w:cs="Times New Roman"/>
          <w:sz w:val="24"/>
        </w:rPr>
        <w:t>análisis en el laboratorio de</w:t>
      </w:r>
      <w:r w:rsidRPr="00686018">
        <w:rPr>
          <w:rFonts w:ascii="Times New Roman" w:hAnsi="Times New Roman" w:cs="Times New Roman"/>
          <w:sz w:val="24"/>
        </w:rPr>
        <w:t xml:space="preserve"> Investigación de la Universidad Estatal de Bolívar.</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94" w:name="_Toc9537827"/>
      <w:r w:rsidRPr="00686018">
        <w:rPr>
          <w:rFonts w:ascii="Times New Roman" w:hAnsi="Times New Roman" w:cs="Times New Roman"/>
          <w:i w:val="0"/>
          <w:u w:val="none"/>
        </w:rPr>
        <w:t>Análisis Proximal y elemental</w:t>
      </w:r>
      <w:bookmarkEnd w:id="194"/>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195" w:name="_Toc535410474"/>
      <w:bookmarkStart w:id="196" w:name="_Toc535410511"/>
      <w:bookmarkStart w:id="197" w:name="_Toc9537828"/>
      <w:r w:rsidRPr="00686018">
        <w:rPr>
          <w:rFonts w:ascii="Times New Roman" w:hAnsi="Times New Roman" w:cs="Times New Roman"/>
          <w:i w:val="0"/>
        </w:rPr>
        <w:t>C</w:t>
      </w:r>
      <w:r w:rsidR="00534946" w:rsidRPr="00686018">
        <w:rPr>
          <w:rFonts w:ascii="Times New Roman" w:hAnsi="Times New Roman" w:cs="Times New Roman"/>
          <w:i w:val="0"/>
        </w:rPr>
        <w:t>aracterización de las materias P</w:t>
      </w:r>
      <w:r w:rsidRPr="00686018">
        <w:rPr>
          <w:rFonts w:ascii="Times New Roman" w:hAnsi="Times New Roman" w:cs="Times New Roman"/>
          <w:i w:val="0"/>
        </w:rPr>
        <w:t>rimas</w:t>
      </w:r>
      <w:bookmarkEnd w:id="195"/>
      <w:bookmarkEnd w:id="196"/>
      <w:bookmarkEnd w:id="197"/>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La caracterización </w:t>
      </w:r>
      <w:r w:rsidR="00554050" w:rsidRPr="00686018">
        <w:rPr>
          <w:rFonts w:ascii="Times New Roman" w:hAnsi="Times New Roman" w:cs="Times New Roman"/>
          <w:sz w:val="24"/>
          <w:szCs w:val="24"/>
        </w:rPr>
        <w:t>de la materia prima se realizó</w:t>
      </w:r>
      <w:r w:rsidR="00C91303">
        <w:rPr>
          <w:rFonts w:ascii="Times New Roman" w:hAnsi="Times New Roman" w:cs="Times New Roman"/>
          <w:sz w:val="24"/>
          <w:szCs w:val="24"/>
        </w:rPr>
        <w:t xml:space="preserve"> en el Centro de I</w:t>
      </w:r>
      <w:r w:rsidRPr="00686018">
        <w:rPr>
          <w:rFonts w:ascii="Times New Roman" w:hAnsi="Times New Roman" w:cs="Times New Roman"/>
          <w:sz w:val="24"/>
          <w:szCs w:val="24"/>
        </w:rPr>
        <w:t xml:space="preserve">nvestigación de la Universidad Estatal de Bolívar, de acuerdo a la siguiente </w:t>
      </w:r>
      <w:r w:rsidR="00C71383" w:rsidRPr="00686018">
        <w:rPr>
          <w:rFonts w:ascii="Times New Roman" w:hAnsi="Times New Roman" w:cs="Times New Roman"/>
          <w:sz w:val="24"/>
          <w:szCs w:val="24"/>
        </w:rPr>
        <w:t>normativa</w:t>
      </w:r>
      <w:r w:rsidRPr="00686018">
        <w:rPr>
          <w:rFonts w:ascii="Times New Roman" w:hAnsi="Times New Roman" w:cs="Times New Roman"/>
          <w:sz w:val="24"/>
          <w:szCs w:val="24"/>
        </w:rPr>
        <w:t>:</w:t>
      </w:r>
    </w:p>
    <w:p w:rsidR="00DF46F4" w:rsidRPr="00686018" w:rsidRDefault="00DF46F4" w:rsidP="00A31608">
      <w:pPr>
        <w:pStyle w:val="Descripcin"/>
        <w:jc w:val="both"/>
        <w:rPr>
          <w:rFonts w:ascii="Times New Roman" w:hAnsi="Times New Roman" w:cs="Times New Roman"/>
          <w:i w:val="0"/>
          <w:color w:val="auto"/>
          <w:sz w:val="24"/>
          <w:szCs w:val="24"/>
        </w:rPr>
      </w:pPr>
      <w:bookmarkStart w:id="198" w:name="_Toc9537909"/>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6</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Métodos para la caracterización de las materias primas.</w:t>
      </w:r>
      <w:bookmarkEnd w:id="198"/>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2"/>
        <w:gridCol w:w="3175"/>
      </w:tblGrid>
      <w:tr w:rsidR="00DF46F4" w:rsidRPr="00686018" w:rsidTr="00DF46F4">
        <w:trPr>
          <w:trHeight w:val="300"/>
        </w:trPr>
        <w:tc>
          <w:tcPr>
            <w:tcW w:w="3000" w:type="pct"/>
            <w:tcBorders>
              <w:top w:val="single" w:sz="4" w:space="0" w:color="auto"/>
              <w:bottom w:val="single" w:sz="4" w:space="0" w:color="auto"/>
            </w:tcBorders>
            <w:noWrap/>
            <w:hideMark/>
          </w:tcPr>
          <w:p w:rsidR="00DF46F4" w:rsidRPr="00686018" w:rsidRDefault="00DF46F4" w:rsidP="00A31608">
            <w:pPr>
              <w:ind w:firstLine="142"/>
              <w:jc w:val="both"/>
              <w:rPr>
                <w:rFonts w:ascii="Times New Roman" w:eastAsia="Times New Roman" w:hAnsi="Times New Roman" w:cs="Times New Roman"/>
                <w:b/>
                <w:color w:val="000000"/>
                <w:sz w:val="18"/>
                <w:szCs w:val="24"/>
                <w:lang w:eastAsia="es-EC"/>
              </w:rPr>
            </w:pPr>
            <w:r w:rsidRPr="00686018">
              <w:rPr>
                <w:rFonts w:ascii="Times New Roman" w:eastAsia="Times New Roman" w:hAnsi="Times New Roman" w:cs="Times New Roman"/>
                <w:b/>
                <w:color w:val="000000"/>
                <w:sz w:val="18"/>
                <w:szCs w:val="24"/>
                <w:lang w:eastAsia="es-EC"/>
              </w:rPr>
              <w:t>Análisis</w:t>
            </w:r>
          </w:p>
        </w:tc>
        <w:tc>
          <w:tcPr>
            <w:tcW w:w="2000" w:type="pct"/>
            <w:tcBorders>
              <w:top w:val="single" w:sz="4" w:space="0" w:color="auto"/>
              <w:bottom w:val="single" w:sz="4" w:space="0" w:color="auto"/>
            </w:tcBorders>
            <w:noWrap/>
            <w:hideMark/>
          </w:tcPr>
          <w:p w:rsidR="00DF46F4" w:rsidRPr="00686018" w:rsidRDefault="00DF46F4" w:rsidP="00A31608">
            <w:pPr>
              <w:ind w:firstLine="142"/>
              <w:jc w:val="both"/>
              <w:rPr>
                <w:rFonts w:ascii="Times New Roman" w:eastAsia="Times New Roman" w:hAnsi="Times New Roman" w:cs="Times New Roman"/>
                <w:b/>
                <w:color w:val="000000"/>
                <w:sz w:val="18"/>
                <w:szCs w:val="24"/>
                <w:lang w:eastAsia="es-EC"/>
              </w:rPr>
            </w:pPr>
            <w:r w:rsidRPr="00686018">
              <w:rPr>
                <w:rFonts w:ascii="Times New Roman" w:eastAsia="Times New Roman" w:hAnsi="Times New Roman" w:cs="Times New Roman"/>
                <w:b/>
                <w:color w:val="000000"/>
                <w:sz w:val="18"/>
                <w:szCs w:val="24"/>
                <w:lang w:eastAsia="es-EC"/>
              </w:rPr>
              <w:t>Método</w:t>
            </w:r>
          </w:p>
        </w:tc>
      </w:tr>
      <w:tr w:rsidR="00DF46F4" w:rsidRPr="00686018" w:rsidTr="00DF46F4">
        <w:trPr>
          <w:trHeight w:val="300"/>
        </w:trPr>
        <w:tc>
          <w:tcPr>
            <w:tcW w:w="3000" w:type="pct"/>
            <w:tcBorders>
              <w:top w:val="single" w:sz="4" w:space="0" w:color="auto"/>
            </w:tcBorders>
            <w:noWrap/>
            <w:hideMark/>
          </w:tcPr>
          <w:p w:rsidR="00DF46F4" w:rsidRPr="00686018" w:rsidRDefault="00DF46F4"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Determinación de humedad, humedad total</w:t>
            </w:r>
          </w:p>
        </w:tc>
        <w:tc>
          <w:tcPr>
            <w:tcW w:w="2000" w:type="pct"/>
            <w:tcBorders>
              <w:top w:val="single" w:sz="4" w:space="0" w:color="auto"/>
            </w:tcBorders>
            <w:noWrap/>
            <w:hideMark/>
          </w:tcPr>
          <w:p w:rsidR="00DF46F4" w:rsidRPr="00686018" w:rsidRDefault="00DF46F4" w:rsidP="00A31608">
            <w:pPr>
              <w:ind w:firstLine="142"/>
              <w:jc w:val="both"/>
              <w:rPr>
                <w:rFonts w:ascii="Times New Roman" w:eastAsia="Times New Roman" w:hAnsi="Times New Roman" w:cs="Times New Roman"/>
                <w:bCs/>
                <w:color w:val="000000"/>
                <w:sz w:val="18"/>
                <w:szCs w:val="24"/>
                <w:lang w:eastAsia="es-EC"/>
              </w:rPr>
            </w:pPr>
            <w:r w:rsidRPr="00686018">
              <w:rPr>
                <w:rFonts w:ascii="Times New Roman" w:eastAsia="Times New Roman" w:hAnsi="Times New Roman" w:cs="Times New Roman"/>
                <w:bCs/>
                <w:color w:val="000000"/>
                <w:sz w:val="18"/>
                <w:szCs w:val="24"/>
                <w:lang w:eastAsia="es-EC"/>
              </w:rPr>
              <w:t>UNE-EN 14774-2</w:t>
            </w:r>
          </w:p>
        </w:tc>
      </w:tr>
      <w:tr w:rsidR="00DF46F4" w:rsidRPr="00686018" w:rsidTr="00DF46F4">
        <w:trPr>
          <w:trHeight w:val="300"/>
        </w:trPr>
        <w:tc>
          <w:tcPr>
            <w:tcW w:w="3000" w:type="pct"/>
            <w:noWrap/>
            <w:hideMark/>
          </w:tcPr>
          <w:p w:rsidR="00DF46F4" w:rsidRPr="00686018" w:rsidRDefault="00DF46F4"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Humedad de la muestra para análisis general</w:t>
            </w:r>
          </w:p>
        </w:tc>
        <w:tc>
          <w:tcPr>
            <w:tcW w:w="2000" w:type="pct"/>
            <w:noWrap/>
            <w:hideMark/>
          </w:tcPr>
          <w:p w:rsidR="00DF46F4" w:rsidRPr="00686018" w:rsidRDefault="00DF46F4"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UNE-EN 14774-3</w:t>
            </w:r>
          </w:p>
        </w:tc>
      </w:tr>
      <w:tr w:rsidR="00DF46F4" w:rsidRPr="00686018" w:rsidTr="00DF46F4">
        <w:trPr>
          <w:trHeight w:val="300"/>
        </w:trPr>
        <w:tc>
          <w:tcPr>
            <w:tcW w:w="3000" w:type="pct"/>
            <w:noWrap/>
            <w:hideMark/>
          </w:tcPr>
          <w:p w:rsidR="00DF46F4" w:rsidRPr="00686018" w:rsidRDefault="00DF46F4"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Determinación del contenido de cenizas</w:t>
            </w:r>
          </w:p>
        </w:tc>
        <w:tc>
          <w:tcPr>
            <w:tcW w:w="2000" w:type="pct"/>
            <w:noWrap/>
            <w:hideMark/>
          </w:tcPr>
          <w:p w:rsidR="00DF46F4" w:rsidRPr="00686018" w:rsidRDefault="00DF46F4"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UNE-EN 14775</w:t>
            </w:r>
          </w:p>
        </w:tc>
      </w:tr>
      <w:tr w:rsidR="00DF46F4" w:rsidRPr="00686018" w:rsidTr="00DF46F4">
        <w:trPr>
          <w:trHeight w:val="300"/>
        </w:trPr>
        <w:tc>
          <w:tcPr>
            <w:tcW w:w="3000" w:type="pct"/>
            <w:noWrap/>
            <w:hideMark/>
          </w:tcPr>
          <w:p w:rsidR="00DF46F4" w:rsidRPr="00686018" w:rsidRDefault="00DF46F4"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Determinación del contenido en materias volátiles</w:t>
            </w:r>
          </w:p>
        </w:tc>
        <w:tc>
          <w:tcPr>
            <w:tcW w:w="2000" w:type="pct"/>
            <w:noWrap/>
            <w:hideMark/>
          </w:tcPr>
          <w:p w:rsidR="00DF46F4" w:rsidRPr="00686018" w:rsidRDefault="00DF46F4"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UNE-EN 15148</w:t>
            </w:r>
          </w:p>
        </w:tc>
      </w:tr>
      <w:tr w:rsidR="00DF46F4" w:rsidRPr="00686018" w:rsidTr="00DF46F4">
        <w:trPr>
          <w:trHeight w:val="300"/>
        </w:trPr>
        <w:tc>
          <w:tcPr>
            <w:tcW w:w="3000" w:type="pct"/>
            <w:noWrap/>
            <w:hideMark/>
          </w:tcPr>
          <w:p w:rsidR="00DF46F4" w:rsidRPr="00686018" w:rsidRDefault="00DF46F4"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Análisis elemental</w:t>
            </w:r>
          </w:p>
        </w:tc>
        <w:tc>
          <w:tcPr>
            <w:tcW w:w="2000" w:type="pct"/>
            <w:noWrap/>
            <w:hideMark/>
          </w:tcPr>
          <w:p w:rsidR="00DF46F4" w:rsidRPr="00686018" w:rsidRDefault="00FD32F6" w:rsidP="00A31608">
            <w:pPr>
              <w:ind w:firstLine="142"/>
              <w:jc w:val="both"/>
              <w:rPr>
                <w:rFonts w:ascii="Times New Roman" w:eastAsia="Times New Roman" w:hAnsi="Times New Roman" w:cs="Times New Roman"/>
                <w:color w:val="000000"/>
                <w:sz w:val="18"/>
                <w:szCs w:val="24"/>
                <w:lang w:eastAsia="es-EC"/>
              </w:rPr>
            </w:pPr>
            <w:r w:rsidRPr="00686018">
              <w:rPr>
                <w:rFonts w:ascii="Times New Roman" w:eastAsia="Times New Roman" w:hAnsi="Times New Roman" w:cs="Times New Roman"/>
                <w:color w:val="000000"/>
                <w:sz w:val="18"/>
                <w:szCs w:val="24"/>
                <w:lang w:eastAsia="es-EC"/>
              </w:rPr>
              <w:t>UNE-EN 15104</w:t>
            </w:r>
          </w:p>
        </w:tc>
      </w:tr>
    </w:tbl>
    <w:p w:rsidR="00DF46F4" w:rsidRPr="00686018" w:rsidRDefault="00DF46F4"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199" w:name="_Toc9537829"/>
      <w:r w:rsidRPr="00686018">
        <w:rPr>
          <w:rFonts w:ascii="Times New Roman" w:hAnsi="Times New Roman" w:cs="Times New Roman"/>
          <w:i w:val="0"/>
          <w:u w:val="none"/>
        </w:rPr>
        <w:lastRenderedPageBreak/>
        <w:t>Configuración general de</w:t>
      </w:r>
      <w:r w:rsidR="004E4504" w:rsidRPr="00686018">
        <w:rPr>
          <w:rFonts w:ascii="Times New Roman" w:hAnsi="Times New Roman" w:cs="Times New Roman"/>
          <w:i w:val="0"/>
          <w:u w:val="none"/>
        </w:rPr>
        <w:t>l</w:t>
      </w:r>
      <w:r w:rsidRPr="00686018">
        <w:rPr>
          <w:rFonts w:ascii="Times New Roman" w:hAnsi="Times New Roman" w:cs="Times New Roman"/>
          <w:i w:val="0"/>
          <w:u w:val="none"/>
        </w:rPr>
        <w:t xml:space="preserve"> reactor anaerobio</w:t>
      </w:r>
      <w:bookmarkEnd w:id="199"/>
      <w:r w:rsidRPr="00686018">
        <w:rPr>
          <w:rFonts w:ascii="Times New Roman" w:hAnsi="Times New Roman" w:cs="Times New Roman"/>
          <w:i w:val="0"/>
          <w:u w:val="none"/>
        </w:rPr>
        <w:t xml:space="preserve"> </w:t>
      </w:r>
    </w:p>
    <w:p w:rsidR="00DF46F4" w:rsidRPr="00686018" w:rsidRDefault="00554050" w:rsidP="00A31608">
      <w:pPr>
        <w:jc w:val="both"/>
        <w:rPr>
          <w:rFonts w:ascii="Times New Roman" w:hAnsi="Times New Roman" w:cs="Times New Roman"/>
          <w:sz w:val="24"/>
          <w:szCs w:val="24"/>
        </w:rPr>
      </w:pPr>
      <w:r w:rsidRPr="00686018">
        <w:rPr>
          <w:rFonts w:ascii="Times New Roman" w:hAnsi="Times New Roman" w:cs="Times New Roman"/>
          <w:sz w:val="24"/>
          <w:szCs w:val="24"/>
        </w:rPr>
        <w:t>Se usó</w:t>
      </w:r>
      <w:r w:rsidR="00DF46F4" w:rsidRPr="00686018">
        <w:rPr>
          <w:rFonts w:ascii="Times New Roman" w:hAnsi="Times New Roman" w:cs="Times New Roman"/>
          <w:sz w:val="24"/>
          <w:szCs w:val="24"/>
        </w:rPr>
        <w:t xml:space="preserve"> 54 digestores con un volumen total de 311</w:t>
      </w:r>
      <w:r w:rsidR="00DD14D0">
        <w:rPr>
          <w:rFonts w:ascii="Times New Roman" w:hAnsi="Times New Roman" w:cs="Times New Roman"/>
          <w:sz w:val="24"/>
          <w:szCs w:val="24"/>
        </w:rPr>
        <w:t>mL</w:t>
      </w:r>
      <w:r w:rsidR="00DF46F4" w:rsidRPr="00686018">
        <w:rPr>
          <w:rFonts w:ascii="Times New Roman" w:hAnsi="Times New Roman" w:cs="Times New Roman"/>
          <w:sz w:val="24"/>
          <w:szCs w:val="24"/>
        </w:rPr>
        <w:t xml:space="preserve">; 15 digestores corresponden a la relación I:S-2:1, 15 a la relación I:S-1:1, 15 a la relación I:S-1:2 y los 9 restantes a los blancos de cada experimento. El volumen ocupado por el sustrato, inóculo y agua </w:t>
      </w:r>
      <w:r w:rsidRPr="00686018">
        <w:rPr>
          <w:rFonts w:ascii="Times New Roman" w:hAnsi="Times New Roman" w:cs="Times New Roman"/>
          <w:sz w:val="24"/>
          <w:szCs w:val="24"/>
        </w:rPr>
        <w:t xml:space="preserve">fue </w:t>
      </w:r>
      <w:r w:rsidR="00DF46F4" w:rsidRPr="00686018">
        <w:rPr>
          <w:rFonts w:ascii="Times New Roman" w:hAnsi="Times New Roman" w:cs="Times New Roman"/>
          <w:sz w:val="24"/>
          <w:szCs w:val="24"/>
        </w:rPr>
        <w:t>186</w:t>
      </w:r>
      <w:r w:rsidR="00DD14D0">
        <w:rPr>
          <w:rFonts w:ascii="Times New Roman" w:hAnsi="Times New Roman" w:cs="Times New Roman"/>
          <w:sz w:val="24"/>
          <w:szCs w:val="24"/>
        </w:rPr>
        <w:t>mL</w:t>
      </w:r>
      <w:r w:rsidR="00DF46F4" w:rsidRPr="00686018">
        <w:rPr>
          <w:rFonts w:ascii="Times New Roman" w:hAnsi="Times New Roman" w:cs="Times New Roman"/>
          <w:sz w:val="24"/>
          <w:szCs w:val="24"/>
        </w:rPr>
        <w:t xml:space="preserve"> (volumen de trabajo), el volumen ocupado por los gases generados </w:t>
      </w:r>
      <w:r w:rsidRPr="00686018">
        <w:rPr>
          <w:rFonts w:ascii="Times New Roman" w:hAnsi="Times New Roman" w:cs="Times New Roman"/>
          <w:sz w:val="24"/>
          <w:szCs w:val="24"/>
        </w:rPr>
        <w:t xml:space="preserve">fue </w:t>
      </w:r>
      <w:r w:rsidR="00DF46F4" w:rsidRPr="00686018">
        <w:rPr>
          <w:rFonts w:ascii="Times New Roman" w:hAnsi="Times New Roman" w:cs="Times New Roman"/>
          <w:sz w:val="24"/>
          <w:szCs w:val="24"/>
        </w:rPr>
        <w:t>de 125</w:t>
      </w:r>
      <w:r w:rsidR="00DD14D0">
        <w:rPr>
          <w:rFonts w:ascii="Times New Roman" w:hAnsi="Times New Roman" w:cs="Times New Roman"/>
          <w:sz w:val="24"/>
          <w:szCs w:val="24"/>
        </w:rPr>
        <w:t>mL</w:t>
      </w:r>
      <w:r w:rsidR="00DF46F4" w:rsidRPr="00686018">
        <w:rPr>
          <w:rFonts w:ascii="Times New Roman" w:hAnsi="Times New Roman" w:cs="Times New Roman"/>
          <w:sz w:val="24"/>
          <w:szCs w:val="24"/>
        </w:rPr>
        <w:t xml:space="preserve"> (volumen libre). Estos digestores </w:t>
      </w:r>
      <w:r w:rsidRPr="00686018">
        <w:rPr>
          <w:rFonts w:ascii="Times New Roman" w:hAnsi="Times New Roman" w:cs="Times New Roman"/>
          <w:sz w:val="24"/>
          <w:szCs w:val="24"/>
        </w:rPr>
        <w:t xml:space="preserve">tuvieron </w:t>
      </w:r>
      <w:r w:rsidR="00DF46F4" w:rsidRPr="00686018">
        <w:rPr>
          <w:rFonts w:ascii="Times New Roman" w:hAnsi="Times New Roman" w:cs="Times New Roman"/>
          <w:sz w:val="24"/>
          <w:szCs w:val="24"/>
        </w:rPr>
        <w:t>una válvula ubicada en el tapón (de 3 pasos) (</w:t>
      </w:r>
      <w:r w:rsidR="00DF46F4" w:rsidRPr="00686018">
        <w:rPr>
          <w:rFonts w:ascii="Times New Roman" w:hAnsi="Times New Roman" w:cs="Times New Roman"/>
          <w:b/>
          <w:sz w:val="24"/>
          <w:szCs w:val="24"/>
        </w:rPr>
        <w:t>Figura 1</w:t>
      </w:r>
      <w:r w:rsidR="006E31EF">
        <w:rPr>
          <w:rFonts w:ascii="Times New Roman" w:hAnsi="Times New Roman" w:cs="Times New Roman"/>
          <w:b/>
          <w:sz w:val="24"/>
          <w:szCs w:val="24"/>
        </w:rPr>
        <w:t>4</w:t>
      </w:r>
      <w:r w:rsidR="00DF46F4" w:rsidRPr="00686018">
        <w:rPr>
          <w:rFonts w:ascii="Times New Roman" w:hAnsi="Times New Roman" w:cs="Times New Roman"/>
          <w:sz w:val="24"/>
          <w:szCs w:val="24"/>
        </w:rPr>
        <w:t xml:space="preserve">). Uno de los pasos conectado al tapón del digestor, mientras que los dos pasos restantes se </w:t>
      </w:r>
      <w:r w:rsidR="002B5EB6">
        <w:rPr>
          <w:rFonts w:ascii="Times New Roman" w:hAnsi="Times New Roman" w:cs="Times New Roman"/>
          <w:sz w:val="24"/>
          <w:szCs w:val="24"/>
        </w:rPr>
        <w:t>emplearon</w:t>
      </w:r>
      <w:r w:rsidR="00DF46F4" w:rsidRPr="00686018">
        <w:rPr>
          <w:rFonts w:ascii="Times New Roman" w:hAnsi="Times New Roman" w:cs="Times New Roman"/>
          <w:sz w:val="24"/>
          <w:szCs w:val="24"/>
        </w:rPr>
        <w:t xml:space="preserve"> para tomar la medida de presión y extracción del biogás generado para su posterior análisis. Los digestores se </w:t>
      </w:r>
      <w:r w:rsidRPr="00686018">
        <w:rPr>
          <w:rFonts w:ascii="Times New Roman" w:hAnsi="Times New Roman" w:cs="Times New Roman"/>
          <w:sz w:val="24"/>
          <w:szCs w:val="24"/>
        </w:rPr>
        <w:t>incubaron</w:t>
      </w:r>
      <w:r w:rsidR="00DF46F4" w:rsidRPr="00686018">
        <w:rPr>
          <w:rFonts w:ascii="Times New Roman" w:hAnsi="Times New Roman" w:cs="Times New Roman"/>
          <w:sz w:val="24"/>
          <w:szCs w:val="24"/>
        </w:rPr>
        <w:t xml:space="preserve"> a 38°C (Temperatura mesófila). </w:t>
      </w:r>
    </w:p>
    <w:p w:rsidR="00DF46F4" w:rsidRPr="00686018" w:rsidRDefault="00DF46F4" w:rsidP="00B46DDC">
      <w:pPr>
        <w:jc w:val="center"/>
        <w:rPr>
          <w:rFonts w:ascii="Times New Roman" w:hAnsi="Times New Roman" w:cs="Times New Roman"/>
        </w:rPr>
      </w:pPr>
      <w:r w:rsidRPr="00686018">
        <w:rPr>
          <w:rFonts w:ascii="Times New Roman" w:hAnsi="Times New Roman" w:cs="Times New Roman"/>
        </w:rPr>
        <w:object w:dxaOrig="15240" w:dyaOrig="7890">
          <v:shape id="_x0000_i1026" type="#_x0000_t75" style="width:101.25pt;height:246pt" o:ole="">
            <v:imagedata r:id="rId34" o:title="" croptop="3623f" cropbottom="13391f" cropleft="29383f" cropright="26934f"/>
          </v:shape>
          <o:OLEObject Type="Embed" ProgID="AutoCAD.Drawing.20" ShapeID="_x0000_i1026" DrawAspect="Content" ObjectID="_1620393448" r:id="rId35"/>
        </w:object>
      </w:r>
    </w:p>
    <w:p w:rsidR="00DF46F4" w:rsidRPr="00686018" w:rsidRDefault="00B639AA" w:rsidP="00B46DDC">
      <w:pPr>
        <w:pStyle w:val="Descripcin"/>
        <w:jc w:val="center"/>
        <w:rPr>
          <w:rFonts w:ascii="Times New Roman" w:hAnsi="Times New Roman" w:cs="Times New Roman"/>
          <w:i w:val="0"/>
          <w:color w:val="auto"/>
        </w:rPr>
      </w:pPr>
      <w:bookmarkStart w:id="200" w:name="_Toc9537882"/>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14</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i w:val="0"/>
          <w:color w:val="auto"/>
        </w:rPr>
        <w:t>. Configuración del digestor empleado para las Pruebas Bioquímicas de Metano (PBM). 1: Digestor, 2: Válvula de tres pasos.</w:t>
      </w:r>
      <w:bookmarkEnd w:id="200"/>
    </w:p>
    <w:p w:rsidR="00DF46F4" w:rsidRPr="00686018" w:rsidRDefault="00DF46F4" w:rsidP="00B46DDC">
      <w:pPr>
        <w:pStyle w:val="Descripcin"/>
        <w:jc w:val="center"/>
        <w:rPr>
          <w:rFonts w:ascii="Times New Roman" w:hAnsi="Times New Roman" w:cs="Times New Roman"/>
          <w:i w:val="0"/>
          <w:color w:val="auto"/>
          <w:szCs w:val="24"/>
        </w:rPr>
      </w:pPr>
      <w:r w:rsidRPr="00686018">
        <w:rPr>
          <w:rFonts w:ascii="Times New Roman" w:hAnsi="Times New Roman" w:cs="Times New Roman"/>
          <w:b/>
          <w:i w:val="0"/>
          <w:color w:val="auto"/>
          <w:szCs w:val="24"/>
        </w:rPr>
        <w:t>Fuente:</w:t>
      </w:r>
      <w:r w:rsidRPr="00686018">
        <w:rPr>
          <w:rFonts w:ascii="Times New Roman" w:hAnsi="Times New Roman" w:cs="Times New Roman"/>
          <w:i w:val="0"/>
          <w:color w:val="auto"/>
          <w:szCs w:val="24"/>
        </w:rPr>
        <w:t xml:space="preserve"> </w:t>
      </w:r>
      <w:r w:rsidR="006D64AB" w:rsidRPr="00686018">
        <w:rPr>
          <w:rFonts w:ascii="Times New Roman" w:hAnsi="Times New Roman" w:cs="Times New Roman"/>
          <w:i w:val="0"/>
          <w:color w:val="auto"/>
          <w:szCs w:val="24"/>
        </w:rPr>
        <w:t>Elaborado por los autores, 2019.</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201" w:name="_Toc9537830"/>
      <w:r w:rsidRPr="00686018">
        <w:rPr>
          <w:rFonts w:ascii="Times New Roman" w:hAnsi="Times New Roman" w:cs="Times New Roman"/>
          <w:i w:val="0"/>
          <w:u w:val="none"/>
        </w:rPr>
        <w:t>Montaje del Digestor anaerobio</w:t>
      </w:r>
      <w:bookmarkEnd w:id="201"/>
      <w:r w:rsidRPr="00686018">
        <w:rPr>
          <w:rFonts w:ascii="Times New Roman" w:hAnsi="Times New Roman" w:cs="Times New Roman"/>
          <w:i w:val="0"/>
          <w:u w:val="none"/>
        </w:rPr>
        <w:t xml:space="preserve"> </w:t>
      </w:r>
    </w:p>
    <w:p w:rsidR="00DF46F4" w:rsidRDefault="00DF46F4" w:rsidP="00A31608">
      <w:pPr>
        <w:jc w:val="both"/>
        <w:rPr>
          <w:rFonts w:ascii="Times New Roman" w:hAnsi="Times New Roman" w:cs="Times New Roman"/>
          <w:sz w:val="24"/>
        </w:rPr>
      </w:pPr>
      <w:r w:rsidRPr="00686018">
        <w:rPr>
          <w:rFonts w:ascii="Times New Roman" w:hAnsi="Times New Roman" w:cs="Times New Roman"/>
          <w:sz w:val="24"/>
        </w:rPr>
        <w:t>El montaje de los digestores consiste en añadir el volumen de inoculo, seguido del sustrato diluido para completar un volumen de 186</w:t>
      </w:r>
      <w:r w:rsidR="00DD14D0">
        <w:rPr>
          <w:rFonts w:ascii="Times New Roman" w:hAnsi="Times New Roman" w:cs="Times New Roman"/>
          <w:sz w:val="24"/>
        </w:rPr>
        <w:t>mL</w:t>
      </w:r>
      <w:r w:rsidRPr="00686018">
        <w:rPr>
          <w:rFonts w:ascii="Times New Roman" w:hAnsi="Times New Roman" w:cs="Times New Roman"/>
          <w:sz w:val="24"/>
        </w:rPr>
        <w:t xml:space="preserve">. Las configuraciones para los reactores con sus diferentes relaciones inoculo a sustrato se detallan a continuación. </w:t>
      </w:r>
    </w:p>
    <w:p w:rsidR="00DF46F4" w:rsidRPr="00686018" w:rsidRDefault="00DF46F4" w:rsidP="00A31608">
      <w:pPr>
        <w:pStyle w:val="Descripcin"/>
        <w:spacing w:before="360" w:after="360"/>
        <w:jc w:val="both"/>
        <w:rPr>
          <w:rFonts w:ascii="Times New Roman" w:hAnsi="Times New Roman" w:cs="Times New Roman"/>
          <w:i w:val="0"/>
          <w:color w:val="auto"/>
        </w:rPr>
      </w:pPr>
      <w:bookmarkStart w:id="202" w:name="_Toc9537910"/>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7</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Características de los digestores con su respectiva relación I/S</w:t>
      </w:r>
      <w:bookmarkEnd w:id="202"/>
    </w:p>
    <w:tbl>
      <w:tblPr>
        <w:tblW w:w="7956" w:type="dxa"/>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4156"/>
        <w:gridCol w:w="1441"/>
        <w:gridCol w:w="1178"/>
        <w:gridCol w:w="1181"/>
      </w:tblGrid>
      <w:tr w:rsidR="00DF46F4" w:rsidRPr="00686018" w:rsidTr="00A31608">
        <w:trPr>
          <w:trHeight w:val="340"/>
        </w:trPr>
        <w:tc>
          <w:tcPr>
            <w:tcW w:w="4156" w:type="dxa"/>
            <w:vMerge w:val="restart"/>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lang w:eastAsia="es-EC"/>
              </w:rPr>
            </w:pPr>
            <w:r w:rsidRPr="00686018">
              <w:rPr>
                <w:rFonts w:ascii="Times New Roman" w:eastAsia="Times New Roman" w:hAnsi="Times New Roman" w:cs="Times New Roman"/>
                <w:b/>
                <w:bCs/>
                <w:color w:val="000000"/>
                <w:sz w:val="18"/>
                <w:lang w:eastAsia="es-EC"/>
              </w:rPr>
              <w:t>Descripción</w:t>
            </w:r>
          </w:p>
        </w:tc>
        <w:tc>
          <w:tcPr>
            <w:tcW w:w="3800" w:type="dxa"/>
            <w:gridSpan w:val="3"/>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lang w:eastAsia="es-EC"/>
              </w:rPr>
            </w:pPr>
            <w:r w:rsidRPr="00686018">
              <w:rPr>
                <w:rFonts w:ascii="Times New Roman" w:eastAsia="Times New Roman" w:hAnsi="Times New Roman" w:cs="Times New Roman"/>
                <w:b/>
                <w:bCs/>
                <w:color w:val="000000"/>
                <w:sz w:val="18"/>
                <w:lang w:eastAsia="es-EC"/>
              </w:rPr>
              <w:t>Relación Inoculo a Sustrato</w:t>
            </w:r>
          </w:p>
        </w:tc>
      </w:tr>
      <w:tr w:rsidR="00DF46F4" w:rsidRPr="00686018" w:rsidTr="00A31608">
        <w:trPr>
          <w:trHeight w:val="340"/>
        </w:trPr>
        <w:tc>
          <w:tcPr>
            <w:tcW w:w="4156" w:type="dxa"/>
            <w:vMerge/>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lang w:eastAsia="es-EC"/>
              </w:rPr>
            </w:pPr>
          </w:p>
        </w:tc>
        <w:tc>
          <w:tcPr>
            <w:tcW w:w="1441"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lang w:eastAsia="es-EC"/>
              </w:rPr>
            </w:pPr>
            <w:r w:rsidRPr="00686018">
              <w:rPr>
                <w:rFonts w:ascii="Times New Roman" w:eastAsia="Times New Roman" w:hAnsi="Times New Roman" w:cs="Times New Roman"/>
                <w:b/>
                <w:bCs/>
                <w:color w:val="000000"/>
                <w:sz w:val="18"/>
                <w:lang w:eastAsia="es-EC"/>
              </w:rPr>
              <w:t>2:1</w:t>
            </w:r>
          </w:p>
        </w:tc>
        <w:tc>
          <w:tcPr>
            <w:tcW w:w="1178"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lang w:eastAsia="es-EC"/>
              </w:rPr>
            </w:pPr>
            <w:r w:rsidRPr="00686018">
              <w:rPr>
                <w:rFonts w:ascii="Times New Roman" w:eastAsia="Times New Roman" w:hAnsi="Times New Roman" w:cs="Times New Roman"/>
                <w:b/>
                <w:bCs/>
                <w:color w:val="000000"/>
                <w:sz w:val="18"/>
                <w:lang w:eastAsia="es-EC"/>
              </w:rPr>
              <w:t>1:1</w:t>
            </w:r>
          </w:p>
        </w:tc>
        <w:tc>
          <w:tcPr>
            <w:tcW w:w="1179"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lang w:eastAsia="es-EC"/>
              </w:rPr>
            </w:pPr>
            <w:r w:rsidRPr="00686018">
              <w:rPr>
                <w:rFonts w:ascii="Times New Roman" w:eastAsia="Times New Roman" w:hAnsi="Times New Roman" w:cs="Times New Roman"/>
                <w:b/>
                <w:bCs/>
                <w:color w:val="000000"/>
                <w:sz w:val="18"/>
                <w:lang w:eastAsia="es-EC"/>
              </w:rPr>
              <w:t>1:2</w:t>
            </w:r>
          </w:p>
        </w:tc>
      </w:tr>
      <w:tr w:rsidR="00DF46F4" w:rsidRPr="00686018" w:rsidTr="00A31608">
        <w:trPr>
          <w:trHeight w:val="340"/>
        </w:trPr>
        <w:tc>
          <w:tcPr>
            <w:tcW w:w="4156"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lastRenderedPageBreak/>
              <w:t>Volumen ocupado por los sustratos (</w:t>
            </w:r>
            <w:r w:rsidR="00DD14D0">
              <w:rPr>
                <w:rFonts w:ascii="Times New Roman" w:eastAsia="Times New Roman" w:hAnsi="Times New Roman" w:cs="Times New Roman"/>
                <w:color w:val="000000"/>
                <w:sz w:val="18"/>
                <w:lang w:eastAsia="es-EC"/>
              </w:rPr>
              <w:t>mL</w:t>
            </w:r>
            <w:r w:rsidRPr="00686018">
              <w:rPr>
                <w:rFonts w:ascii="Times New Roman" w:eastAsia="Times New Roman" w:hAnsi="Times New Roman" w:cs="Times New Roman"/>
                <w:color w:val="000000"/>
                <w:sz w:val="18"/>
                <w:lang w:eastAsia="es-EC"/>
              </w:rPr>
              <w:t>)</w:t>
            </w:r>
          </w:p>
        </w:tc>
        <w:tc>
          <w:tcPr>
            <w:tcW w:w="1441"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62</w:t>
            </w:r>
          </w:p>
        </w:tc>
        <w:tc>
          <w:tcPr>
            <w:tcW w:w="1178"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93</w:t>
            </w:r>
          </w:p>
        </w:tc>
        <w:tc>
          <w:tcPr>
            <w:tcW w:w="1179"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124</w:t>
            </w:r>
          </w:p>
        </w:tc>
      </w:tr>
      <w:tr w:rsidR="00DF46F4" w:rsidRPr="00686018" w:rsidTr="00A31608">
        <w:trPr>
          <w:trHeight w:val="340"/>
        </w:trPr>
        <w:tc>
          <w:tcPr>
            <w:tcW w:w="4156"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Volumen ocupado por el inoculo (</w:t>
            </w:r>
            <w:r w:rsidR="00DD14D0">
              <w:rPr>
                <w:rFonts w:ascii="Times New Roman" w:eastAsia="Times New Roman" w:hAnsi="Times New Roman" w:cs="Times New Roman"/>
                <w:color w:val="000000"/>
                <w:sz w:val="18"/>
                <w:lang w:eastAsia="es-EC"/>
              </w:rPr>
              <w:t>mL</w:t>
            </w:r>
            <w:r w:rsidRPr="00686018">
              <w:rPr>
                <w:rFonts w:ascii="Times New Roman" w:eastAsia="Times New Roman" w:hAnsi="Times New Roman" w:cs="Times New Roman"/>
                <w:color w:val="000000"/>
                <w:sz w:val="18"/>
                <w:lang w:eastAsia="es-EC"/>
              </w:rPr>
              <w:t>)</w:t>
            </w:r>
          </w:p>
        </w:tc>
        <w:tc>
          <w:tcPr>
            <w:tcW w:w="1441"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124</w:t>
            </w:r>
          </w:p>
        </w:tc>
        <w:tc>
          <w:tcPr>
            <w:tcW w:w="1178"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93</w:t>
            </w:r>
          </w:p>
        </w:tc>
        <w:tc>
          <w:tcPr>
            <w:tcW w:w="1179"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62</w:t>
            </w:r>
          </w:p>
        </w:tc>
      </w:tr>
      <w:tr w:rsidR="00DF46F4" w:rsidRPr="00686018" w:rsidTr="00A31608">
        <w:trPr>
          <w:trHeight w:val="340"/>
        </w:trPr>
        <w:tc>
          <w:tcPr>
            <w:tcW w:w="4156"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Masa del volumen de inóculo (g)</w:t>
            </w:r>
          </w:p>
        </w:tc>
        <w:tc>
          <w:tcPr>
            <w:tcW w:w="1441"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123,34</w:t>
            </w:r>
          </w:p>
        </w:tc>
        <w:tc>
          <w:tcPr>
            <w:tcW w:w="1178"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92,5</w:t>
            </w:r>
          </w:p>
        </w:tc>
        <w:tc>
          <w:tcPr>
            <w:tcW w:w="1179"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61,91</w:t>
            </w:r>
          </w:p>
        </w:tc>
      </w:tr>
      <w:tr w:rsidR="00DF46F4" w:rsidRPr="00686018" w:rsidTr="00A31608">
        <w:trPr>
          <w:trHeight w:val="340"/>
        </w:trPr>
        <w:tc>
          <w:tcPr>
            <w:tcW w:w="4156"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Solidos volátiles del inoculo (g-SV)</w:t>
            </w:r>
          </w:p>
        </w:tc>
        <w:tc>
          <w:tcPr>
            <w:tcW w:w="1441"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2,828</w:t>
            </w:r>
          </w:p>
        </w:tc>
        <w:tc>
          <w:tcPr>
            <w:tcW w:w="1178"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2,121</w:t>
            </w:r>
          </w:p>
        </w:tc>
        <w:tc>
          <w:tcPr>
            <w:tcW w:w="1179"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1,419</w:t>
            </w:r>
          </w:p>
        </w:tc>
      </w:tr>
      <w:tr w:rsidR="00DF46F4" w:rsidRPr="00686018" w:rsidTr="00A31608">
        <w:trPr>
          <w:trHeight w:val="340"/>
        </w:trPr>
        <w:tc>
          <w:tcPr>
            <w:tcW w:w="4156"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Solidos volátiles de los sustratos (g-SV)</w:t>
            </w:r>
          </w:p>
        </w:tc>
        <w:tc>
          <w:tcPr>
            <w:tcW w:w="1441"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1,414</w:t>
            </w:r>
          </w:p>
        </w:tc>
        <w:tc>
          <w:tcPr>
            <w:tcW w:w="1178"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2,121</w:t>
            </w:r>
          </w:p>
        </w:tc>
        <w:tc>
          <w:tcPr>
            <w:tcW w:w="1179" w:type="dxa"/>
            <w:shd w:val="clear" w:color="auto" w:fill="auto"/>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lang w:eastAsia="es-EC"/>
              </w:rPr>
            </w:pPr>
            <w:r w:rsidRPr="00686018">
              <w:rPr>
                <w:rFonts w:ascii="Times New Roman" w:eastAsia="Times New Roman" w:hAnsi="Times New Roman" w:cs="Times New Roman"/>
                <w:color w:val="000000"/>
                <w:sz w:val="18"/>
                <w:lang w:eastAsia="es-EC"/>
              </w:rPr>
              <w:t>2,839</w:t>
            </w:r>
          </w:p>
        </w:tc>
      </w:tr>
    </w:tbl>
    <w:p w:rsidR="00DF46F4" w:rsidRPr="00686018" w:rsidRDefault="00DF46F4"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203" w:name="_Toc9537831"/>
      <w:r w:rsidRPr="00686018">
        <w:rPr>
          <w:rFonts w:ascii="Times New Roman" w:hAnsi="Times New Roman" w:cs="Times New Roman"/>
          <w:i w:val="0"/>
          <w:u w:val="none"/>
        </w:rPr>
        <w:t>Cálculo de materia orgánica destinada para el digestor</w:t>
      </w:r>
      <w:bookmarkEnd w:id="203"/>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El digestor anaerobio es alimentado con una cantidad de materia orgánica (SV) fijada por la cantidad de solidos volátiles que posee el inóculo fresco. La cantidad de materia orgánica a añadir al digestor es limitada por la cantidad de SV del inóculo. Las masas de SV del inóculo en 124</w:t>
      </w:r>
      <w:r w:rsidR="00DD14D0">
        <w:rPr>
          <w:rFonts w:ascii="Times New Roman" w:hAnsi="Times New Roman" w:cs="Times New Roman"/>
          <w:sz w:val="24"/>
        </w:rPr>
        <w:t>mL</w:t>
      </w:r>
      <w:r w:rsidRPr="00686018">
        <w:rPr>
          <w:rFonts w:ascii="Times New Roman" w:hAnsi="Times New Roman" w:cs="Times New Roman"/>
          <w:sz w:val="24"/>
        </w:rPr>
        <w:t xml:space="preserve"> (relación 2:1), 93</w:t>
      </w:r>
      <w:r w:rsidR="00DD14D0">
        <w:rPr>
          <w:rFonts w:ascii="Times New Roman" w:hAnsi="Times New Roman" w:cs="Times New Roman"/>
          <w:sz w:val="24"/>
        </w:rPr>
        <w:t>mL</w:t>
      </w:r>
      <w:r w:rsidRPr="00686018">
        <w:rPr>
          <w:rFonts w:ascii="Times New Roman" w:hAnsi="Times New Roman" w:cs="Times New Roman"/>
          <w:sz w:val="24"/>
        </w:rPr>
        <w:t xml:space="preserve"> (relación 1:1) y 62</w:t>
      </w:r>
      <w:r w:rsidR="00DD14D0">
        <w:rPr>
          <w:rFonts w:ascii="Times New Roman" w:hAnsi="Times New Roman" w:cs="Times New Roman"/>
          <w:sz w:val="24"/>
        </w:rPr>
        <w:t>mL</w:t>
      </w:r>
      <w:r w:rsidRPr="00686018">
        <w:rPr>
          <w:rFonts w:ascii="Times New Roman" w:hAnsi="Times New Roman" w:cs="Times New Roman"/>
          <w:sz w:val="24"/>
        </w:rPr>
        <w:t xml:space="preserve"> (relación 1:2) es detallada en la </w:t>
      </w:r>
      <w:r w:rsidR="00160EB7" w:rsidRPr="00686018">
        <w:rPr>
          <w:rFonts w:ascii="Times New Roman" w:hAnsi="Times New Roman" w:cs="Times New Roman"/>
          <w:b/>
          <w:sz w:val="24"/>
        </w:rPr>
        <w:t>tabla 7</w:t>
      </w:r>
      <w:r w:rsidRPr="00686018">
        <w:rPr>
          <w:rFonts w:ascii="Times New Roman" w:hAnsi="Times New Roman" w:cs="Times New Roman"/>
          <w:b/>
          <w:sz w:val="24"/>
        </w:rPr>
        <w:t>.</w:t>
      </w:r>
      <w:r w:rsidRPr="00686018">
        <w:rPr>
          <w:rFonts w:ascii="Times New Roman" w:hAnsi="Times New Roman" w:cs="Times New Roman"/>
          <w:sz w:val="24"/>
        </w:rPr>
        <w:t xml:space="preserve"> Mismos que corresponden a una tasa de cargar orgánica de </w:t>
      </w:r>
      <w:r w:rsidRPr="00686018">
        <w:rPr>
          <w:rFonts w:ascii="Times New Roman" w:hAnsi="Times New Roman" w:cs="Times New Roman"/>
          <w:color w:val="000000" w:themeColor="text1"/>
          <w:sz w:val="24"/>
        </w:rPr>
        <w:t>18gSVL</w:t>
      </w:r>
      <w:r w:rsidRPr="00686018">
        <w:rPr>
          <w:rFonts w:ascii="Times New Roman" w:hAnsi="Times New Roman" w:cs="Times New Roman"/>
          <w:color w:val="000000" w:themeColor="text1"/>
          <w:sz w:val="24"/>
          <w:vertAlign w:val="superscript"/>
        </w:rPr>
        <w:t>-1</w:t>
      </w:r>
      <w:r w:rsidRPr="00686018">
        <w:rPr>
          <w:rFonts w:ascii="Times New Roman" w:hAnsi="Times New Roman" w:cs="Times New Roman"/>
          <w:color w:val="000000" w:themeColor="text1"/>
          <w:sz w:val="24"/>
        </w:rPr>
        <w:t>.</w:t>
      </w:r>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Para calcular la cantidad de SV que se añade al digestor realizamos un balance de masa en base a SV tanto para los sustratos como para el inóculo. Como se ha mencionado antes, la relación I:S es de 2:1, 1:1 y 1:2 por tanto:</w:t>
      </w:r>
    </w:p>
    <w:p w:rsidR="00DF46F4" w:rsidRPr="002B5EB6" w:rsidRDefault="00DD14D0" w:rsidP="00A31608">
      <w:pPr>
        <w:spacing w:before="360" w:after="360"/>
        <w:jc w:val="both"/>
        <w:rPr>
          <w:rFonts w:ascii="Times New Roman" w:hAnsi="Times New Roman" w:cs="Times New Roman"/>
          <w:i/>
          <w:sz w:val="24"/>
        </w:rPr>
      </w:pPr>
      <w:r>
        <w:rPr>
          <w:rFonts w:ascii="Times New Roman" w:hAnsi="Times New Roman" w:cs="Times New Roman"/>
          <w:i/>
          <w:sz w:val="24"/>
        </w:rPr>
        <w:t>Tasa de carga orgánica (</w:t>
      </w:r>
      <w:r w:rsidR="00DF46F4" w:rsidRPr="002B5EB6">
        <w:rPr>
          <w:rFonts w:ascii="Times New Roman" w:hAnsi="Times New Roman" w:cs="Times New Roman"/>
          <w:i/>
          <w:sz w:val="24"/>
        </w:rPr>
        <w:t>TCO</w:t>
      </w:r>
      <w:r>
        <w:rPr>
          <w:rFonts w:ascii="Times New Roman" w:hAnsi="Times New Roman" w:cs="Times New Roman"/>
          <w:i/>
          <w:sz w:val="24"/>
        </w:rPr>
        <w:t>)</w:t>
      </w:r>
      <w:r w:rsidR="00DF46F4" w:rsidRPr="002B5EB6">
        <w:rPr>
          <w:rFonts w:ascii="Times New Roman" w:hAnsi="Times New Roman" w:cs="Times New Roman"/>
          <w:i/>
          <w:sz w:val="24"/>
        </w:rPr>
        <w:t xml:space="preserve"> para el digestor con una relación I:S de 2:1</w:t>
      </w:r>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La cantid</w:t>
      </w:r>
      <w:r w:rsidR="00554050" w:rsidRPr="00686018">
        <w:rPr>
          <w:rFonts w:ascii="Times New Roman" w:hAnsi="Times New Roman" w:cs="Times New Roman"/>
          <w:sz w:val="24"/>
        </w:rPr>
        <w:t>ad de SV añadido al reactor es</w:t>
      </w:r>
      <w:r w:rsidRPr="00686018">
        <w:rPr>
          <w:rFonts w:ascii="Times New Roman" w:hAnsi="Times New Roman" w:cs="Times New Roman"/>
          <w:sz w:val="24"/>
        </w:rPr>
        <w:t xml:space="preserve"> 2 veces los sólidos volátiles del inóculo a una del sustrato. Esto corresponde a que el volumen ocupado por los SV del inóculo sea de 124</w:t>
      </w:r>
      <w:r w:rsidR="00DD14D0">
        <w:rPr>
          <w:rFonts w:ascii="Times New Roman" w:hAnsi="Times New Roman" w:cs="Times New Roman"/>
          <w:sz w:val="24"/>
        </w:rPr>
        <w:t>mL</w:t>
      </w:r>
      <w:r w:rsidRPr="00686018">
        <w:rPr>
          <w:rFonts w:ascii="Times New Roman" w:hAnsi="Times New Roman" w:cs="Times New Roman"/>
          <w:sz w:val="24"/>
        </w:rPr>
        <w:t xml:space="preserve"> y el ocupado por los SV del sustrato sea de 62</w:t>
      </w:r>
      <w:r w:rsidR="00DD14D0">
        <w:rPr>
          <w:rFonts w:ascii="Times New Roman" w:hAnsi="Times New Roman" w:cs="Times New Roman"/>
          <w:sz w:val="24"/>
        </w:rPr>
        <w:t>mL</w:t>
      </w:r>
      <w:r w:rsidRPr="00686018">
        <w:rPr>
          <w:rFonts w:ascii="Times New Roman" w:hAnsi="Times New Roman" w:cs="Times New Roman"/>
          <w:sz w:val="24"/>
        </w:rPr>
        <w:t>. El cual corresponde a una relación 2:1. Es decir:</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1"/>
        <w:gridCol w:w="556"/>
      </w:tblGrid>
      <w:tr w:rsidR="00DF46F4" w:rsidRPr="00686018" w:rsidTr="00DF46F4">
        <w:tc>
          <w:tcPr>
            <w:tcW w:w="7933" w:type="dxa"/>
            <w:vAlign w:val="center"/>
          </w:tcPr>
          <w:p w:rsidR="00DF46F4" w:rsidRPr="00686018" w:rsidRDefault="000B7990" w:rsidP="00A31608">
            <w:pPr>
              <w:jc w:val="both"/>
              <w:rPr>
                <w:rFonts w:ascii="Times New Roman" w:hAnsi="Times New Roman" w:cs="Times New Roman"/>
                <w:sz w:val="24"/>
                <w:szCs w:val="24"/>
              </w:rPr>
            </w:pPr>
            <m:oMathPara>
              <m:oMathParaPr>
                <m:jc m:val="center"/>
              </m:oMathParaPr>
              <m:oMath>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I</m:t>
                        </m:r>
                      </m:sub>
                    </m:sSub>
                  </m:num>
                  <m:den>
                    <m:r>
                      <m:rPr>
                        <m:sty m:val="p"/>
                      </m:rPr>
                      <w:rPr>
                        <w:rFonts w:ascii="Cambria Math" w:hAnsi="Cambria Math" w:cs="Times New Roman"/>
                        <w:sz w:val="24"/>
                      </w:rPr>
                      <m:t>0.124</m:t>
                    </m:r>
                  </m:den>
                </m:f>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S</m:t>
                        </m:r>
                      </m:sub>
                    </m:sSub>
                  </m:num>
                  <m:den>
                    <m:r>
                      <m:rPr>
                        <m:sty m:val="p"/>
                      </m:rPr>
                      <w:rPr>
                        <w:rFonts w:ascii="Cambria Math" w:hAnsi="Cambria Math" w:cs="Times New Roman"/>
                        <w:sz w:val="24"/>
                      </w:rPr>
                      <m:t>0.062</m:t>
                    </m:r>
                  </m:den>
                </m:f>
                <m:r>
                  <m:rPr>
                    <m:sty m:val="p"/>
                  </m:rPr>
                  <w:rPr>
                    <w:rFonts w:ascii="Cambria Math" w:hAnsi="Cambria Math" w:cs="Times New Roman"/>
                    <w:sz w:val="24"/>
                  </w:rPr>
                  <m:t>=36</m:t>
                </m:r>
              </m:oMath>
            </m:oMathPara>
          </w:p>
        </w:tc>
        <w:tc>
          <w:tcPr>
            <w:tcW w:w="561" w:type="dxa"/>
            <w:vAlign w:val="center"/>
          </w:tcPr>
          <w:p w:rsidR="00DF46F4" w:rsidRPr="00686018" w:rsidRDefault="00DF46F4" w:rsidP="00A31608">
            <w:pPr>
              <w:keepNext/>
              <w:tabs>
                <w:tab w:val="left" w:pos="502"/>
              </w:tabs>
              <w:jc w:val="both"/>
              <w:rPr>
                <w:rFonts w:ascii="Times New Roman" w:hAnsi="Times New Roman" w:cs="Times New Roman"/>
                <w:b/>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8</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DF46F4" w:rsidRPr="00686018" w:rsidRDefault="00DF46F4" w:rsidP="00A31608">
      <w:pPr>
        <w:spacing w:before="360" w:after="36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Pues la carga obtenida a partir del inoculo es de 18gSVL</w:t>
      </w:r>
      <w:r w:rsidRPr="00686018">
        <w:rPr>
          <w:rFonts w:ascii="Times New Roman" w:eastAsiaTheme="minorEastAsia" w:hAnsi="Times New Roman" w:cs="Times New Roman"/>
          <w:sz w:val="24"/>
          <w:vertAlign w:val="superscript"/>
        </w:rPr>
        <w:t>-1</w:t>
      </w:r>
    </w:p>
    <w:p w:rsidR="00DF46F4" w:rsidRPr="00686018" w:rsidRDefault="00DF46F4" w:rsidP="00A31608">
      <w:pPr>
        <w:spacing w:before="360" w:after="36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 xml:space="preserve">Donde </w:t>
      </w:r>
    </w:p>
    <w:p w:rsidR="00DF46F4" w:rsidRPr="00686018" w:rsidRDefault="00DF46F4" w:rsidP="00A31608">
      <w:pPr>
        <w:jc w:val="both"/>
        <w:rPr>
          <w:rFonts w:ascii="Times New Roman" w:eastAsiaTheme="minorEastAsia" w:hAnsi="Times New Roman" w:cs="Times New Roman"/>
          <w:sz w:val="24"/>
        </w:rPr>
      </w:pPr>
      <w:r w:rsidRPr="00686018">
        <w:rPr>
          <w:rFonts w:ascii="Times New Roman" w:eastAsiaTheme="minorEastAsia" w:hAnsi="Times New Roman" w:cs="Times New Roman"/>
          <w:b/>
          <w:sz w:val="24"/>
        </w:rPr>
        <w:t>SV</w:t>
      </w:r>
      <w:r w:rsidRPr="00686018">
        <w:rPr>
          <w:rFonts w:ascii="Times New Roman" w:eastAsiaTheme="minorEastAsia" w:hAnsi="Times New Roman" w:cs="Times New Roman"/>
          <w:b/>
          <w:sz w:val="24"/>
          <w:vertAlign w:val="subscript"/>
        </w:rPr>
        <w:t>I</w:t>
      </w:r>
      <w:r w:rsidRPr="00686018">
        <w:rPr>
          <w:rFonts w:ascii="Times New Roman" w:eastAsiaTheme="minorEastAsia" w:hAnsi="Times New Roman" w:cs="Times New Roman"/>
          <w:b/>
          <w:sz w:val="24"/>
        </w:rPr>
        <w:t>:</w:t>
      </w:r>
      <w:r w:rsidRPr="00686018">
        <w:rPr>
          <w:rFonts w:ascii="Times New Roman" w:eastAsiaTheme="minorEastAsia" w:hAnsi="Times New Roman" w:cs="Times New Roman"/>
          <w:sz w:val="24"/>
        </w:rPr>
        <w:t xml:space="preserve"> solidos volátiles del inóculo (g)</w:t>
      </w:r>
    </w:p>
    <w:p w:rsidR="00DF46F4" w:rsidRPr="00686018" w:rsidRDefault="00DF46F4" w:rsidP="00A31608">
      <w:pPr>
        <w:jc w:val="both"/>
        <w:rPr>
          <w:rFonts w:ascii="Times New Roman" w:eastAsiaTheme="minorEastAsia" w:hAnsi="Times New Roman" w:cs="Times New Roman"/>
          <w:sz w:val="24"/>
        </w:rPr>
      </w:pPr>
      <w:r w:rsidRPr="00686018">
        <w:rPr>
          <w:rFonts w:ascii="Times New Roman" w:eastAsiaTheme="minorEastAsia" w:hAnsi="Times New Roman" w:cs="Times New Roman"/>
          <w:b/>
          <w:sz w:val="24"/>
        </w:rPr>
        <w:t>SV</w:t>
      </w:r>
      <w:r w:rsidRPr="00686018">
        <w:rPr>
          <w:rFonts w:ascii="Times New Roman" w:eastAsiaTheme="minorEastAsia" w:hAnsi="Times New Roman" w:cs="Times New Roman"/>
          <w:b/>
          <w:sz w:val="24"/>
          <w:vertAlign w:val="subscript"/>
        </w:rPr>
        <w:t>S</w:t>
      </w:r>
      <w:r w:rsidRPr="00686018">
        <w:rPr>
          <w:rFonts w:ascii="Times New Roman" w:eastAsiaTheme="minorEastAsia" w:hAnsi="Times New Roman" w:cs="Times New Roman"/>
          <w:b/>
          <w:sz w:val="24"/>
        </w:rPr>
        <w:t>:</w:t>
      </w:r>
      <w:r w:rsidRPr="00686018">
        <w:rPr>
          <w:rFonts w:ascii="Times New Roman" w:eastAsiaTheme="minorEastAsia" w:hAnsi="Times New Roman" w:cs="Times New Roman"/>
          <w:sz w:val="24"/>
        </w:rPr>
        <w:t xml:space="preserve"> solidos volátiles de los sustratos (g)</w:t>
      </w:r>
    </w:p>
    <w:p w:rsidR="00DF46F4" w:rsidRPr="00686018" w:rsidRDefault="00DF46F4" w:rsidP="00A31608">
      <w:pPr>
        <w:spacing w:before="360" w:after="36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Como la relación en base a SV para el inóculo y sustrato</w:t>
      </w:r>
      <w:r w:rsidR="00524A5A" w:rsidRPr="00686018">
        <w:rPr>
          <w:rFonts w:ascii="Times New Roman" w:eastAsiaTheme="minorEastAsia" w:hAnsi="Times New Roman" w:cs="Times New Roman"/>
          <w:sz w:val="24"/>
        </w:rPr>
        <w:t xml:space="preserve"> es 2:1, entonces la ecuación (8</w:t>
      </w:r>
      <w:r w:rsidRPr="00686018">
        <w:rPr>
          <w:rFonts w:ascii="Times New Roman" w:eastAsiaTheme="minorEastAsia" w:hAnsi="Times New Roman" w:cs="Times New Roman"/>
          <w:sz w:val="24"/>
        </w:rPr>
        <w:t>) será:</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2"/>
        <w:gridCol w:w="555"/>
      </w:tblGrid>
      <w:tr w:rsidR="00DF46F4" w:rsidRPr="00686018" w:rsidTr="00DF46F4">
        <w:tc>
          <w:tcPr>
            <w:tcW w:w="7933" w:type="dxa"/>
            <w:vAlign w:val="center"/>
          </w:tcPr>
          <w:p w:rsidR="00DF46F4" w:rsidRPr="00686018" w:rsidRDefault="000B7990" w:rsidP="00A31608">
            <w:pPr>
              <w:spacing w:before="100" w:beforeAutospacing="1" w:after="100" w:afterAutospacing="1"/>
              <w:jc w:val="both"/>
              <w:rPr>
                <w:rFonts w:ascii="Times New Roman" w:hAnsi="Times New Roman" w:cs="Times New Roman"/>
                <w:sz w:val="24"/>
                <w:szCs w:val="24"/>
              </w:rPr>
            </w:pPr>
            <m:oMathPara>
              <m:oMathParaPr>
                <m:jc m:val="center"/>
              </m:oMathParaPr>
              <m:oMath>
                <m:f>
                  <m:fPr>
                    <m:ctrlPr>
                      <w:rPr>
                        <w:rFonts w:ascii="Cambria Math" w:hAnsi="Cambria Math" w:cs="Times New Roman"/>
                        <w:sz w:val="24"/>
                      </w:rPr>
                    </m:ctrlPr>
                  </m:fPr>
                  <m:num>
                    <m:r>
                      <m:rPr>
                        <m:sty m:val="p"/>
                      </m:rPr>
                      <w:rPr>
                        <w:rFonts w:ascii="Cambria Math" w:hAnsi="Cambria Math" w:cs="Times New Roman"/>
                        <w:sz w:val="24"/>
                      </w:rPr>
                      <m:t>2</m:t>
                    </m:r>
                  </m:num>
                  <m:den>
                    <m:r>
                      <m:rPr>
                        <m:sty m:val="p"/>
                      </m:rPr>
                      <w:rPr>
                        <w:rFonts w:ascii="Cambria Math" w:hAnsi="Cambria Math" w:cs="Times New Roman"/>
                        <w:sz w:val="24"/>
                      </w:rPr>
                      <m:t>0.124</m:t>
                    </m:r>
                  </m:den>
                </m:f>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S</m:t>
                    </m:r>
                  </m:sub>
                </m:sSub>
                <m:r>
                  <m:rPr>
                    <m:sty m:val="p"/>
                  </m:rPr>
                  <w:rPr>
                    <w:rFonts w:ascii="Cambria Math" w:hAnsi="Cambria Math" w:cs="Times New Roman"/>
                    <w:sz w:val="24"/>
                  </w:rPr>
                  <m:t>+</m:t>
                </m:r>
                <m:f>
                  <m:fPr>
                    <m:ctrlPr>
                      <w:rPr>
                        <w:rFonts w:ascii="Cambria Math" w:hAnsi="Cambria Math" w:cs="Times New Roman"/>
                        <w:sz w:val="24"/>
                      </w:rPr>
                    </m:ctrlPr>
                  </m:fPr>
                  <m:num>
                    <m:r>
                      <m:rPr>
                        <m:sty m:val="p"/>
                      </m:rPr>
                      <w:rPr>
                        <w:rFonts w:ascii="Cambria Math" w:hAnsi="Cambria Math" w:cs="Times New Roman"/>
                        <w:sz w:val="24"/>
                      </w:rPr>
                      <m:t>1</m:t>
                    </m:r>
                  </m:num>
                  <m:den>
                    <m:r>
                      <m:rPr>
                        <m:sty m:val="p"/>
                      </m:rPr>
                      <w:rPr>
                        <w:rFonts w:ascii="Cambria Math" w:hAnsi="Cambria Math" w:cs="Times New Roman"/>
                        <w:sz w:val="24"/>
                      </w:rPr>
                      <m:t>0.062</m:t>
                    </m:r>
                  </m:den>
                </m:f>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S</m:t>
                    </m:r>
                  </m:sub>
                </m:sSub>
                <m:r>
                  <m:rPr>
                    <m:sty m:val="p"/>
                  </m:rPr>
                  <w:rPr>
                    <w:rFonts w:ascii="Cambria Math" w:hAnsi="Cambria Math" w:cs="Times New Roman"/>
                    <w:sz w:val="24"/>
                  </w:rPr>
                  <m:t>=36</m:t>
                </m:r>
              </m:oMath>
            </m:oMathPara>
          </w:p>
        </w:tc>
        <w:tc>
          <w:tcPr>
            <w:tcW w:w="561" w:type="dxa"/>
            <w:vAlign w:val="center"/>
          </w:tcPr>
          <w:p w:rsidR="00DF46F4" w:rsidRPr="00686018" w:rsidRDefault="00DF46F4" w:rsidP="00A31608">
            <w:pPr>
              <w:keepNext/>
              <w:tabs>
                <w:tab w:val="left" w:pos="502"/>
              </w:tabs>
              <w:spacing w:before="100" w:beforeAutospacing="1" w:after="100" w:afterAutospacing="1"/>
              <w:jc w:val="both"/>
              <w:rPr>
                <w:rFonts w:ascii="Times New Roman" w:hAnsi="Times New Roman" w:cs="Times New Roman"/>
                <w:b/>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9</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DF46F4" w:rsidRPr="00686018" w:rsidRDefault="00DF46F4" w:rsidP="00A31608">
      <w:pPr>
        <w:spacing w:before="360" w:after="360"/>
        <w:jc w:val="both"/>
        <w:rPr>
          <w:rFonts w:ascii="Times New Roman" w:hAnsi="Times New Roman" w:cs="Times New Roman"/>
          <w:sz w:val="24"/>
        </w:rPr>
      </w:pPr>
      <w:r w:rsidRPr="00686018">
        <w:rPr>
          <w:rFonts w:ascii="Times New Roman" w:eastAsiaTheme="minorEastAsia" w:hAnsi="Times New Roman" w:cs="Times New Roman"/>
          <w:sz w:val="24"/>
        </w:rPr>
        <w:t>Reordenando y aplicando términos semejantes obtenemos:</w:t>
      </w:r>
    </w:p>
    <w:p w:rsidR="00DF46F4" w:rsidRPr="00686018" w:rsidRDefault="00686018" w:rsidP="00A31608">
      <w:pPr>
        <w:spacing w:before="360" w:after="360"/>
        <w:jc w:val="both"/>
        <w:rPr>
          <w:rFonts w:ascii="Times New Roman" w:hAnsi="Times New Roman" w:cs="Times New Roman"/>
        </w:rPr>
      </w:pPr>
      <m:oMathPara>
        <m:oMath>
          <m:r>
            <m:rPr>
              <m:sty m:val="p"/>
            </m:rPr>
            <w:rPr>
              <w:rFonts w:ascii="Cambria Math" w:hAnsi="Cambria Math" w:cs="Times New Roman"/>
              <w:sz w:val="24"/>
            </w:rPr>
            <m:t xml:space="preserve">16.129 </m:t>
          </m:r>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S</m:t>
              </m:r>
            </m:sub>
          </m:sSub>
          <m:r>
            <m:rPr>
              <m:sty m:val="p"/>
            </m:rPr>
            <w:rPr>
              <w:rFonts w:ascii="Cambria Math" w:hAnsi="Cambria Math" w:cs="Times New Roman"/>
              <w:sz w:val="24"/>
            </w:rPr>
            <m:t xml:space="preserve">+16.129 </m:t>
          </m:r>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S</m:t>
              </m:r>
            </m:sub>
          </m:sSub>
          <m:r>
            <m:rPr>
              <m:sty m:val="p"/>
            </m:rPr>
            <w:rPr>
              <w:rFonts w:ascii="Cambria Math" w:hAnsi="Cambria Math" w:cs="Times New Roman"/>
              <w:sz w:val="24"/>
            </w:rPr>
            <m:t>=36</m:t>
          </m:r>
        </m:oMath>
      </m:oMathPara>
    </w:p>
    <w:p w:rsidR="00DF46F4" w:rsidRPr="00686018" w:rsidRDefault="00686018" w:rsidP="00A31608">
      <w:pPr>
        <w:spacing w:before="360" w:after="360"/>
        <w:jc w:val="both"/>
        <w:rPr>
          <w:rFonts w:ascii="Times New Roman" w:eastAsiaTheme="minorEastAsia" w:hAnsi="Times New Roman" w:cs="Times New Roman"/>
          <w:sz w:val="24"/>
        </w:rPr>
      </w:pPr>
      <m:oMathPara>
        <m:oMath>
          <m:r>
            <m:rPr>
              <m:sty m:val="p"/>
            </m:rPr>
            <w:rPr>
              <w:rFonts w:ascii="Cambria Math" w:hAnsi="Cambria Math" w:cs="Times New Roman"/>
              <w:sz w:val="24"/>
            </w:rPr>
            <m:t xml:space="preserve">32.258 </m:t>
          </m:r>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S</m:t>
              </m:r>
            </m:sub>
          </m:sSub>
          <m:r>
            <m:rPr>
              <m:sty m:val="p"/>
            </m:rPr>
            <w:rPr>
              <w:rFonts w:ascii="Cambria Math" w:hAnsi="Cambria Math" w:cs="Times New Roman"/>
              <w:sz w:val="24"/>
            </w:rPr>
            <m:t>=36</m:t>
          </m:r>
        </m:oMath>
      </m:oMathPara>
    </w:p>
    <w:p w:rsidR="00DF46F4" w:rsidRPr="00686018" w:rsidRDefault="000B7990" w:rsidP="00A31608">
      <w:pPr>
        <w:spacing w:before="360" w:after="360"/>
        <w:jc w:val="both"/>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SV</m:t>
              </m:r>
            </m:e>
            <m:sub>
              <m:r>
                <w:rPr>
                  <w:rFonts w:ascii="Cambria Math" w:hAnsi="Cambria Math" w:cs="Times New Roman"/>
                </w:rPr>
                <m:t>s</m:t>
              </m:r>
            </m:sub>
          </m:sSub>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36</m:t>
              </m:r>
            </m:num>
            <m:den>
              <m:r>
                <m:rPr>
                  <m:sty m:val="p"/>
                </m:rPr>
                <w:rPr>
                  <w:rFonts w:ascii="Cambria Math" w:hAnsi="Cambria Math" w:cs="Times New Roman"/>
                </w:rPr>
                <m:t>32.258</m:t>
              </m:r>
            </m:den>
          </m:f>
        </m:oMath>
      </m:oMathPara>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1"/>
        <w:gridCol w:w="616"/>
      </w:tblGrid>
      <w:tr w:rsidR="00DF46F4" w:rsidRPr="00686018" w:rsidTr="00DF46F4">
        <w:tc>
          <w:tcPr>
            <w:tcW w:w="7933" w:type="dxa"/>
            <w:vAlign w:val="center"/>
          </w:tcPr>
          <w:p w:rsidR="00DF46F4" w:rsidRPr="00686018" w:rsidRDefault="002B5EB6" w:rsidP="002B5EB6">
            <w:pPr>
              <w:jc w:val="center"/>
              <w:rPr>
                <w:rFonts w:ascii="Times New Roman" w:hAnsi="Times New Roman" w:cs="Times New Roman"/>
                <w:sz w:val="24"/>
                <w:szCs w:val="24"/>
              </w:rPr>
            </w:pPr>
            <w:r>
              <w:rPr>
                <w:rFonts w:ascii="Times New Roman" w:eastAsiaTheme="minorEastAsia" w:hAnsi="Times New Roman" w:cs="Times New Roman"/>
                <w:sz w:val="24"/>
              </w:rPr>
              <w:t xml:space="preserve">            </w:t>
            </w:r>
            <m:oMath>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S</m:t>
                  </m:r>
                </m:sub>
              </m:sSub>
              <m:r>
                <m:rPr>
                  <m:sty m:val="p"/>
                </m:rPr>
                <w:rPr>
                  <w:rFonts w:ascii="Cambria Math" w:hAnsi="Cambria Math" w:cs="Times New Roman"/>
                  <w:sz w:val="24"/>
                </w:rPr>
                <m:t>=1.116</m:t>
              </m:r>
              <m:r>
                <w:rPr>
                  <w:rFonts w:ascii="Cambria Math" w:hAnsi="Cambria Math" w:cs="Times New Roman"/>
                  <w:sz w:val="24"/>
                </w:rPr>
                <m:t>g</m:t>
              </m:r>
            </m:oMath>
          </w:p>
        </w:tc>
        <w:tc>
          <w:tcPr>
            <w:tcW w:w="561" w:type="dxa"/>
            <w:vAlign w:val="center"/>
          </w:tcPr>
          <w:p w:rsidR="00DF46F4" w:rsidRPr="00686018" w:rsidRDefault="00DF46F4" w:rsidP="00A31608">
            <w:pPr>
              <w:keepNext/>
              <w:tabs>
                <w:tab w:val="left" w:pos="502"/>
              </w:tabs>
              <w:jc w:val="both"/>
              <w:rPr>
                <w:rFonts w:ascii="Times New Roman" w:hAnsi="Times New Roman" w:cs="Times New Roman"/>
                <w:b/>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10</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Por tanto, la cantidad de SV de los sustratos individuales que se debe añadir al diges</w:t>
      </w:r>
      <w:r w:rsidR="00554050" w:rsidRPr="00686018">
        <w:rPr>
          <w:rFonts w:ascii="Times New Roman" w:hAnsi="Times New Roman" w:cs="Times New Roman"/>
          <w:sz w:val="24"/>
        </w:rPr>
        <w:t>tor en mono-digestión, es de</w:t>
      </w:r>
      <w:r w:rsidRPr="00686018">
        <w:rPr>
          <w:rFonts w:ascii="Times New Roman" w:hAnsi="Times New Roman" w:cs="Times New Roman"/>
          <w:sz w:val="24"/>
        </w:rPr>
        <w:t xml:space="preserve"> 1.116g. En codigestión, la cantidad de SV en base a las relaciones Sustrato: Co-sustrato se calcula a partir de otro balance de masa, es decir:</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1"/>
        <w:gridCol w:w="616"/>
      </w:tblGrid>
      <w:tr w:rsidR="00DF46F4" w:rsidRPr="00686018" w:rsidTr="00DF46F4">
        <w:tc>
          <w:tcPr>
            <w:tcW w:w="7901" w:type="dxa"/>
            <w:vAlign w:val="center"/>
          </w:tcPr>
          <w:p w:rsidR="00DF46F4" w:rsidRPr="00686018" w:rsidRDefault="000B7990" w:rsidP="00A31608">
            <w:pPr>
              <w:jc w:val="both"/>
              <w:rPr>
                <w:rFonts w:ascii="Times New Roman" w:hAnsi="Times New Roman" w:cs="Times New Roman"/>
                <w:sz w:val="24"/>
                <w:szCs w:val="24"/>
              </w:rPr>
            </w:pPr>
            <m:oMathPara>
              <m:oMathParaPr>
                <m:jc m:val="center"/>
              </m:oMathParaPr>
              <m:oMath>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S</m:t>
                    </m:r>
                  </m:sub>
                </m:sSub>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Co</m:t>
                    </m:r>
                    <m:r>
                      <m:rPr>
                        <m:sty m:val="p"/>
                      </m:rPr>
                      <w:rPr>
                        <w:rFonts w:ascii="Cambria Math" w:hAnsi="Cambria Math" w:cs="Times New Roman"/>
                        <w:sz w:val="24"/>
                      </w:rPr>
                      <m:t>-</m:t>
                    </m:r>
                    <m:r>
                      <w:rPr>
                        <w:rFonts w:ascii="Cambria Math" w:hAnsi="Cambria Math" w:cs="Times New Roman"/>
                        <w:sz w:val="24"/>
                      </w:rPr>
                      <m:t>S</m:t>
                    </m:r>
                  </m:sub>
                </m:sSub>
                <m:r>
                  <m:rPr>
                    <m:sty m:val="p"/>
                  </m:rPr>
                  <w:rPr>
                    <w:rFonts w:ascii="Cambria Math" w:hAnsi="Cambria Math" w:cs="Times New Roman"/>
                    <w:sz w:val="24"/>
                  </w:rPr>
                  <m:t>=1.116</m:t>
                </m:r>
              </m:oMath>
            </m:oMathPara>
          </w:p>
        </w:tc>
        <w:tc>
          <w:tcPr>
            <w:tcW w:w="603" w:type="dxa"/>
            <w:vAlign w:val="center"/>
          </w:tcPr>
          <w:p w:rsidR="00DF46F4" w:rsidRPr="00686018" w:rsidRDefault="00DF46F4" w:rsidP="00A31608">
            <w:pPr>
              <w:keepNext/>
              <w:tabs>
                <w:tab w:val="left" w:pos="502"/>
              </w:tabs>
              <w:jc w:val="both"/>
              <w:rPr>
                <w:rFonts w:ascii="Times New Roman" w:hAnsi="Times New Roman" w:cs="Times New Roman"/>
                <w:b/>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11</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DF46F4" w:rsidRPr="00686018" w:rsidRDefault="00DF46F4" w:rsidP="00A31608">
      <w:pPr>
        <w:spacing w:before="360" w:after="48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 xml:space="preserve">Donde </w:t>
      </w:r>
    </w:p>
    <w:p w:rsidR="00DF46F4" w:rsidRPr="00686018" w:rsidRDefault="00DF46F4" w:rsidP="00A31608">
      <w:pPr>
        <w:jc w:val="both"/>
        <w:rPr>
          <w:rFonts w:ascii="Times New Roman" w:eastAsiaTheme="minorEastAsia" w:hAnsi="Times New Roman" w:cs="Times New Roman"/>
          <w:sz w:val="24"/>
        </w:rPr>
      </w:pPr>
      <w:r w:rsidRPr="00686018">
        <w:rPr>
          <w:rFonts w:ascii="Times New Roman" w:eastAsiaTheme="minorEastAsia" w:hAnsi="Times New Roman" w:cs="Times New Roman"/>
          <w:b/>
          <w:sz w:val="24"/>
        </w:rPr>
        <w:t>SV</w:t>
      </w:r>
      <w:r w:rsidRPr="00686018">
        <w:rPr>
          <w:rFonts w:ascii="Times New Roman" w:eastAsiaTheme="minorEastAsia" w:hAnsi="Times New Roman" w:cs="Times New Roman"/>
          <w:b/>
          <w:sz w:val="24"/>
          <w:vertAlign w:val="subscript"/>
        </w:rPr>
        <w:t>s</w:t>
      </w:r>
      <w:r w:rsidRPr="00686018">
        <w:rPr>
          <w:rFonts w:ascii="Times New Roman" w:eastAsiaTheme="minorEastAsia" w:hAnsi="Times New Roman" w:cs="Times New Roman"/>
          <w:b/>
          <w:sz w:val="24"/>
        </w:rPr>
        <w:t>:</w:t>
      </w:r>
      <w:r w:rsidR="00DD14D0">
        <w:rPr>
          <w:rFonts w:ascii="Times New Roman" w:eastAsiaTheme="minorEastAsia" w:hAnsi="Times New Roman" w:cs="Times New Roman"/>
          <w:sz w:val="24"/>
        </w:rPr>
        <w:t xml:space="preserve"> só</w:t>
      </w:r>
      <w:r w:rsidRPr="00686018">
        <w:rPr>
          <w:rFonts w:ascii="Times New Roman" w:eastAsiaTheme="minorEastAsia" w:hAnsi="Times New Roman" w:cs="Times New Roman"/>
          <w:sz w:val="24"/>
        </w:rPr>
        <w:t>lidos volátiles del sustrato (g)</w:t>
      </w:r>
    </w:p>
    <w:p w:rsidR="00DF46F4" w:rsidRPr="00686018" w:rsidRDefault="00DF46F4" w:rsidP="00A31608">
      <w:pPr>
        <w:spacing w:after="360"/>
        <w:jc w:val="both"/>
        <w:rPr>
          <w:rFonts w:ascii="Times New Roman" w:eastAsiaTheme="minorEastAsia" w:hAnsi="Times New Roman" w:cs="Times New Roman"/>
          <w:sz w:val="24"/>
        </w:rPr>
      </w:pPr>
      <w:r w:rsidRPr="00686018">
        <w:rPr>
          <w:rFonts w:ascii="Times New Roman" w:eastAsiaTheme="minorEastAsia" w:hAnsi="Times New Roman" w:cs="Times New Roman"/>
          <w:b/>
          <w:sz w:val="24"/>
        </w:rPr>
        <w:t>SV</w:t>
      </w:r>
      <w:r w:rsidRPr="00686018">
        <w:rPr>
          <w:rFonts w:ascii="Times New Roman" w:eastAsiaTheme="minorEastAsia" w:hAnsi="Times New Roman" w:cs="Times New Roman"/>
          <w:b/>
          <w:sz w:val="24"/>
          <w:vertAlign w:val="subscript"/>
        </w:rPr>
        <w:t>Co-S</w:t>
      </w:r>
      <w:r w:rsidRPr="00686018">
        <w:rPr>
          <w:rFonts w:ascii="Times New Roman" w:eastAsiaTheme="minorEastAsia" w:hAnsi="Times New Roman" w:cs="Times New Roman"/>
          <w:b/>
          <w:sz w:val="24"/>
        </w:rPr>
        <w:t>:</w:t>
      </w:r>
      <w:r w:rsidR="00DD14D0">
        <w:rPr>
          <w:rFonts w:ascii="Times New Roman" w:eastAsiaTheme="minorEastAsia" w:hAnsi="Times New Roman" w:cs="Times New Roman"/>
          <w:sz w:val="24"/>
        </w:rPr>
        <w:t xml:space="preserve"> só</w:t>
      </w:r>
      <w:r w:rsidRPr="00686018">
        <w:rPr>
          <w:rFonts w:ascii="Times New Roman" w:eastAsiaTheme="minorEastAsia" w:hAnsi="Times New Roman" w:cs="Times New Roman"/>
          <w:sz w:val="24"/>
        </w:rPr>
        <w:t>lidos volátiles del Co-sustratos (g)</w:t>
      </w:r>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Como la relación S: Co-S en base a solidos volátiles es de 1:3, entonces:</w:t>
      </w:r>
    </w:p>
    <w:p w:rsidR="00DF46F4" w:rsidRPr="00686018" w:rsidRDefault="000B7990" w:rsidP="00A31608">
      <w:pPr>
        <w:spacing w:before="360" w:after="360"/>
        <w:jc w:val="both"/>
        <w:rPr>
          <w:rFonts w:ascii="Times New Roman" w:eastAsiaTheme="minorEastAsia" w:hAnsi="Times New Roman" w:cs="Times New Roman"/>
          <w:color w:val="FF0000"/>
          <w:sz w:val="24"/>
        </w:rPr>
      </w:pPr>
      <m:oMathPara>
        <m:oMath>
          <m:f>
            <m:fPr>
              <m:ctrlPr>
                <w:rPr>
                  <w:rFonts w:ascii="Cambria Math" w:hAnsi="Cambria Math" w:cs="Times New Roman"/>
                  <w:sz w:val="24"/>
                </w:rPr>
              </m:ctrlPr>
            </m:fPr>
            <m:num>
              <m:r>
                <m:rPr>
                  <m:sty m:val="p"/>
                </m:rPr>
                <w:rPr>
                  <w:rFonts w:ascii="Cambria Math" w:hAnsi="Cambria Math" w:cs="Times New Roman"/>
                  <w:sz w:val="24"/>
                </w:rPr>
                <m:t>1</m:t>
              </m:r>
            </m:num>
            <m:den>
              <m:r>
                <m:rPr>
                  <m:sty m:val="p"/>
                </m:rPr>
                <w:rPr>
                  <w:rFonts w:ascii="Cambria Math" w:hAnsi="Cambria Math" w:cs="Times New Roman"/>
                  <w:sz w:val="24"/>
                </w:rPr>
                <m:t>3</m:t>
              </m:r>
            </m:den>
          </m:f>
          <m:r>
            <m:rPr>
              <m:sty m:val="p"/>
            </m:rPr>
            <w:rPr>
              <w:rFonts w:ascii="Cambria Math" w:hAnsi="Cambria Math" w:cs="Times New Roman"/>
              <w:sz w:val="24"/>
            </w:rPr>
            <m:t xml:space="preserve"> </m:t>
          </m:r>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Co</m:t>
              </m:r>
              <m:r>
                <m:rPr>
                  <m:sty m:val="p"/>
                </m:rPr>
                <w:rPr>
                  <w:rFonts w:ascii="Cambria Math" w:hAnsi="Cambria Math" w:cs="Times New Roman"/>
                  <w:sz w:val="24"/>
                </w:rPr>
                <m:t>-</m:t>
              </m:r>
              <m:r>
                <w:rPr>
                  <w:rFonts w:ascii="Cambria Math" w:hAnsi="Cambria Math" w:cs="Times New Roman"/>
                  <w:sz w:val="24"/>
                </w:rPr>
                <m:t>S</m:t>
              </m:r>
            </m:sub>
          </m:sSub>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Co</m:t>
              </m:r>
              <m:r>
                <m:rPr>
                  <m:sty m:val="p"/>
                </m:rPr>
                <w:rPr>
                  <w:rFonts w:ascii="Cambria Math" w:hAnsi="Cambria Math" w:cs="Times New Roman"/>
                  <w:sz w:val="24"/>
                </w:rPr>
                <m:t>-</m:t>
              </m:r>
              <m:r>
                <w:rPr>
                  <w:rFonts w:ascii="Cambria Math" w:hAnsi="Cambria Math" w:cs="Times New Roman"/>
                  <w:sz w:val="24"/>
                </w:rPr>
                <m:t>S</m:t>
              </m:r>
            </m:sub>
          </m:sSub>
          <m:r>
            <m:rPr>
              <m:sty m:val="p"/>
            </m:rPr>
            <w:rPr>
              <w:rFonts w:ascii="Cambria Math" w:hAnsi="Cambria Math" w:cs="Times New Roman"/>
              <w:sz w:val="24"/>
            </w:rPr>
            <m:t>=1.116</m:t>
          </m:r>
        </m:oMath>
      </m:oMathPara>
    </w:p>
    <w:p w:rsidR="00DF46F4" w:rsidRPr="00686018" w:rsidRDefault="00DF46F4" w:rsidP="00A31608">
      <w:pPr>
        <w:spacing w:before="360" w:after="360"/>
        <w:jc w:val="both"/>
        <w:rPr>
          <w:rFonts w:ascii="Times New Roman" w:eastAsiaTheme="minorEastAsia" w:hAnsi="Times New Roman" w:cs="Times New Roman"/>
          <w:color w:val="000000" w:themeColor="text1"/>
          <w:sz w:val="24"/>
        </w:rPr>
      </w:pPr>
      <w:r w:rsidRPr="00686018">
        <w:rPr>
          <w:rFonts w:ascii="Times New Roman" w:eastAsiaTheme="minorEastAsia" w:hAnsi="Times New Roman" w:cs="Times New Roman"/>
          <w:color w:val="000000" w:themeColor="text1"/>
          <w:sz w:val="24"/>
        </w:rPr>
        <w:t>Realizando términos semejantes</w:t>
      </w:r>
      <w:r w:rsidR="00160EB7" w:rsidRPr="00686018">
        <w:rPr>
          <w:rFonts w:ascii="Times New Roman" w:eastAsiaTheme="minorEastAsia" w:hAnsi="Times New Roman" w:cs="Times New Roman"/>
          <w:color w:val="000000" w:themeColor="text1"/>
          <w:sz w:val="24"/>
        </w:rPr>
        <w:t>,</w:t>
      </w:r>
      <w:r w:rsidRPr="00686018">
        <w:rPr>
          <w:rFonts w:ascii="Times New Roman" w:eastAsiaTheme="minorEastAsia" w:hAnsi="Times New Roman" w:cs="Times New Roman"/>
          <w:color w:val="000000" w:themeColor="text1"/>
          <w:sz w:val="24"/>
        </w:rPr>
        <w:t xml:space="preserve"> la cantidad de SV para el Co-Sustrato</w:t>
      </w:r>
      <w:r w:rsidR="00554050" w:rsidRPr="00686018">
        <w:rPr>
          <w:rFonts w:ascii="Times New Roman" w:eastAsiaTheme="minorEastAsia" w:hAnsi="Times New Roman" w:cs="Times New Roman"/>
          <w:color w:val="000000" w:themeColor="text1"/>
          <w:sz w:val="24"/>
        </w:rPr>
        <w:t xml:space="preserve"> fue</w:t>
      </w:r>
      <w:r w:rsidRPr="00686018">
        <w:rPr>
          <w:rFonts w:ascii="Times New Roman" w:eastAsiaTheme="minorEastAsia" w:hAnsi="Times New Roman" w:cs="Times New Roman"/>
          <w:color w:val="000000" w:themeColor="text1"/>
          <w:sz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1"/>
        <w:gridCol w:w="616"/>
      </w:tblGrid>
      <w:tr w:rsidR="00DF46F4" w:rsidRPr="00686018" w:rsidTr="00DF46F4">
        <w:tc>
          <w:tcPr>
            <w:tcW w:w="7933" w:type="dxa"/>
            <w:vAlign w:val="center"/>
          </w:tcPr>
          <w:p w:rsidR="00DF46F4" w:rsidRPr="00686018" w:rsidRDefault="000B7990" w:rsidP="00A31608">
            <w:pPr>
              <w:jc w:val="both"/>
              <w:rPr>
                <w:rFonts w:ascii="Times New Roman" w:hAnsi="Times New Roman" w:cs="Times New Roman"/>
                <w:sz w:val="24"/>
                <w:szCs w:val="24"/>
              </w:rPr>
            </w:pPr>
            <m:oMathPara>
              <m:oMathParaPr>
                <m:jc m:val="center"/>
              </m:oMathParaPr>
              <m:oMath>
                <m:sSub>
                  <m:sSubPr>
                    <m:ctrlPr>
                      <w:rPr>
                        <w:rFonts w:ascii="Cambria Math" w:hAnsi="Cambria Math" w:cs="Times New Roman"/>
                        <w:sz w:val="24"/>
                      </w:rPr>
                    </m:ctrlPr>
                  </m:sSubPr>
                  <m:e>
                    <m:r>
                      <w:rPr>
                        <w:rFonts w:ascii="Cambria Math" w:hAnsi="Cambria Math" w:cs="Times New Roman"/>
                        <w:sz w:val="24"/>
                      </w:rPr>
                      <m:t>SV</m:t>
                    </m:r>
                  </m:e>
                  <m:sub>
                    <m:r>
                      <w:rPr>
                        <w:rFonts w:ascii="Cambria Math" w:hAnsi="Cambria Math" w:cs="Times New Roman"/>
                        <w:sz w:val="24"/>
                      </w:rPr>
                      <m:t>Co</m:t>
                    </m:r>
                    <m:r>
                      <m:rPr>
                        <m:sty m:val="p"/>
                      </m:rPr>
                      <w:rPr>
                        <w:rFonts w:ascii="Cambria Math" w:hAnsi="Cambria Math" w:cs="Times New Roman"/>
                        <w:sz w:val="24"/>
                      </w:rPr>
                      <m:t>-</m:t>
                    </m:r>
                    <m:r>
                      <w:rPr>
                        <w:rFonts w:ascii="Cambria Math" w:hAnsi="Cambria Math" w:cs="Times New Roman"/>
                        <w:sz w:val="24"/>
                      </w:rPr>
                      <m:t>S</m:t>
                    </m:r>
                  </m:sub>
                </m:sSub>
                <m:r>
                  <m:rPr>
                    <m:sty m:val="p"/>
                  </m:rPr>
                  <w:rPr>
                    <w:rFonts w:ascii="Cambria Math" w:hAnsi="Cambria Math" w:cs="Times New Roman"/>
                    <w:sz w:val="24"/>
                  </w:rPr>
                  <m:t>=0.837</m:t>
                </m:r>
              </m:oMath>
            </m:oMathPara>
          </w:p>
        </w:tc>
        <w:tc>
          <w:tcPr>
            <w:tcW w:w="561" w:type="dxa"/>
            <w:vAlign w:val="center"/>
          </w:tcPr>
          <w:p w:rsidR="00DF46F4" w:rsidRPr="00686018" w:rsidRDefault="00DF46F4" w:rsidP="00A31608">
            <w:pPr>
              <w:keepNext/>
              <w:tabs>
                <w:tab w:val="left" w:pos="502"/>
              </w:tabs>
              <w:jc w:val="both"/>
              <w:rPr>
                <w:rFonts w:ascii="Times New Roman" w:hAnsi="Times New Roman" w:cs="Times New Roman"/>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12</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DF46F4" w:rsidRPr="00686018" w:rsidRDefault="00DF46F4" w:rsidP="00A31608">
      <w:pPr>
        <w:spacing w:before="360" w:after="360"/>
        <w:jc w:val="both"/>
        <w:rPr>
          <w:rFonts w:ascii="Times New Roman" w:eastAsiaTheme="minorEastAsia" w:hAnsi="Times New Roman" w:cs="Times New Roman"/>
          <w:color w:val="000000" w:themeColor="text1"/>
          <w:sz w:val="24"/>
        </w:rPr>
      </w:pPr>
      <w:r w:rsidRPr="00686018">
        <w:rPr>
          <w:rFonts w:ascii="Times New Roman" w:eastAsiaTheme="minorEastAsia" w:hAnsi="Times New Roman" w:cs="Times New Roman"/>
          <w:color w:val="000000" w:themeColor="text1"/>
          <w:sz w:val="24"/>
        </w:rPr>
        <w:t>Y los SV del sustrato: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1"/>
        <w:gridCol w:w="616"/>
      </w:tblGrid>
      <w:tr w:rsidR="00DF46F4" w:rsidRPr="00686018" w:rsidTr="00DF46F4">
        <w:trPr>
          <w:jc w:val="center"/>
        </w:trPr>
        <w:tc>
          <w:tcPr>
            <w:tcW w:w="7933" w:type="dxa"/>
            <w:vAlign w:val="center"/>
          </w:tcPr>
          <w:p w:rsidR="00DF46F4" w:rsidRPr="00686018" w:rsidRDefault="000B7990" w:rsidP="00A31608">
            <w:pPr>
              <w:jc w:val="both"/>
              <w:rPr>
                <w:rFonts w:ascii="Times New Roman" w:hAnsi="Times New Roman" w:cs="Times New Roman"/>
                <w:sz w:val="24"/>
                <w:szCs w:val="24"/>
              </w:rPr>
            </w:pPr>
            <m:oMathPara>
              <m:oMathParaPr>
                <m:jc m:val="center"/>
              </m:oMathParaPr>
              <m:oMath>
                <m:sSub>
                  <m:sSubPr>
                    <m:ctrlPr>
                      <w:rPr>
                        <w:rFonts w:ascii="Cambria Math" w:hAnsi="Cambria Math" w:cs="Times New Roman"/>
                        <w:sz w:val="24"/>
                        <w:szCs w:val="24"/>
                      </w:rPr>
                    </m:ctrlPr>
                  </m:sSubPr>
                  <m:e>
                    <m:r>
                      <w:rPr>
                        <w:rFonts w:ascii="Cambria Math" w:hAnsi="Cambria Math" w:cs="Times New Roman"/>
                        <w:sz w:val="24"/>
                        <w:szCs w:val="24"/>
                      </w:rPr>
                      <m:t>SV</m:t>
                    </m:r>
                  </m:e>
                  <m:sub>
                    <m:r>
                      <w:rPr>
                        <w:rFonts w:ascii="Cambria Math" w:hAnsi="Cambria Math" w:cs="Times New Roman"/>
                        <w:sz w:val="24"/>
                        <w:szCs w:val="24"/>
                      </w:rPr>
                      <m:t>s</m:t>
                    </m:r>
                  </m:sub>
                </m:sSub>
                <m:r>
                  <m:rPr>
                    <m:sty m:val="p"/>
                  </m:rPr>
                  <w:rPr>
                    <w:rFonts w:ascii="Cambria Math" w:hAnsi="Cambria Math" w:cs="Times New Roman"/>
                    <w:sz w:val="24"/>
                    <w:szCs w:val="24"/>
                  </w:rPr>
                  <m:t>=0.279</m:t>
                </m:r>
              </m:oMath>
            </m:oMathPara>
          </w:p>
        </w:tc>
        <w:tc>
          <w:tcPr>
            <w:tcW w:w="561" w:type="dxa"/>
            <w:vAlign w:val="center"/>
          </w:tcPr>
          <w:p w:rsidR="00DF46F4" w:rsidRPr="00686018" w:rsidRDefault="00DF46F4" w:rsidP="00A31608">
            <w:pPr>
              <w:keepNext/>
              <w:tabs>
                <w:tab w:val="left" w:pos="502"/>
              </w:tabs>
              <w:jc w:val="both"/>
              <w:rPr>
                <w:rFonts w:ascii="Times New Roman" w:hAnsi="Times New Roman" w:cs="Times New Roman"/>
                <w:b/>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13</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B46DDC" w:rsidRPr="00686018" w:rsidRDefault="00DF46F4" w:rsidP="00A31608">
      <w:pPr>
        <w:spacing w:before="360" w:after="360"/>
        <w:jc w:val="both"/>
        <w:rPr>
          <w:rFonts w:ascii="Times New Roman" w:eastAsiaTheme="minorEastAsia" w:hAnsi="Times New Roman" w:cs="Times New Roman"/>
          <w:color w:val="000000" w:themeColor="text1"/>
          <w:sz w:val="24"/>
        </w:rPr>
      </w:pPr>
      <w:r w:rsidRPr="00686018">
        <w:rPr>
          <w:rFonts w:ascii="Times New Roman" w:eastAsiaTheme="minorEastAsia" w:hAnsi="Times New Roman" w:cs="Times New Roman"/>
          <w:color w:val="000000" w:themeColor="text1"/>
          <w:sz w:val="24"/>
        </w:rPr>
        <w:t>Efectuando cálculos similares para las relaciones restantes de I:S y relación de sustrato a co-sustrato obtenemos la siguiente tabla.</w:t>
      </w:r>
    </w:p>
    <w:p w:rsidR="00DF46F4" w:rsidRPr="00686018" w:rsidRDefault="00DF46F4" w:rsidP="00A31608">
      <w:pPr>
        <w:pStyle w:val="Descripcin"/>
        <w:jc w:val="both"/>
        <w:rPr>
          <w:rFonts w:ascii="Times New Roman" w:hAnsi="Times New Roman" w:cs="Times New Roman"/>
          <w:i w:val="0"/>
          <w:color w:val="auto"/>
        </w:rPr>
      </w:pPr>
      <w:bookmarkStart w:id="204" w:name="_Toc9537911"/>
      <w:r w:rsidRPr="00686018">
        <w:rPr>
          <w:rFonts w:ascii="Times New Roman" w:hAnsi="Times New Roman" w:cs="Times New Roman"/>
          <w:b/>
          <w:i w:val="0"/>
          <w:color w:val="auto"/>
        </w:rPr>
        <w:lastRenderedPageBreak/>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8</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Configuración de los experimentos de mono-digestión y codigestión.</w:t>
      </w:r>
      <w:bookmarkEnd w:id="204"/>
    </w:p>
    <w:tbl>
      <w:tblPr>
        <w:tblW w:w="7863" w:type="dxa"/>
        <w:jc w:val="center"/>
        <w:shd w:val="clear" w:color="auto" w:fill="FFFFFF" w:themeFill="background1"/>
        <w:tblCellMar>
          <w:left w:w="70" w:type="dxa"/>
          <w:right w:w="70" w:type="dxa"/>
        </w:tblCellMar>
        <w:tblLook w:val="04A0" w:firstRow="1" w:lastRow="0" w:firstColumn="1" w:lastColumn="0" w:noHBand="0" w:noVBand="1"/>
      </w:tblPr>
      <w:tblGrid>
        <w:gridCol w:w="1053"/>
        <w:gridCol w:w="861"/>
        <w:gridCol w:w="823"/>
        <w:gridCol w:w="662"/>
        <w:gridCol w:w="982"/>
        <w:gridCol w:w="939"/>
        <w:gridCol w:w="1055"/>
        <w:gridCol w:w="704"/>
        <w:gridCol w:w="823"/>
      </w:tblGrid>
      <w:tr w:rsidR="00DF46F4" w:rsidRPr="00686018" w:rsidTr="00A31608">
        <w:trPr>
          <w:trHeight w:val="582"/>
          <w:jc w:val="center"/>
        </w:trPr>
        <w:tc>
          <w:tcPr>
            <w:tcW w:w="1053" w:type="dxa"/>
            <w:tcBorders>
              <w:top w:val="single" w:sz="4" w:space="0" w:color="auto"/>
              <w:bottom w:val="single" w:sz="4" w:space="0" w:color="auto"/>
            </w:tcBorders>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Masa SV (g)</w:t>
            </w:r>
          </w:p>
        </w:tc>
        <w:tc>
          <w:tcPr>
            <w:tcW w:w="822" w:type="dxa"/>
            <w:tcBorders>
              <w:top w:val="single" w:sz="4" w:space="0" w:color="auto"/>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Sustratos</w:t>
            </w:r>
          </w:p>
        </w:tc>
        <w:tc>
          <w:tcPr>
            <w:tcW w:w="823" w:type="dxa"/>
            <w:tcBorders>
              <w:top w:val="single" w:sz="4" w:space="0" w:color="auto"/>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Relación</w:t>
            </w:r>
          </w:p>
        </w:tc>
        <w:tc>
          <w:tcPr>
            <w:tcW w:w="662" w:type="dxa"/>
            <w:tcBorders>
              <w:top w:val="single" w:sz="4" w:space="0" w:color="auto"/>
              <w:bottom w:val="single" w:sz="4" w:space="0" w:color="auto"/>
            </w:tcBorders>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C/N</w:t>
            </w:r>
          </w:p>
        </w:tc>
        <w:tc>
          <w:tcPr>
            <w:tcW w:w="982" w:type="dxa"/>
            <w:tcBorders>
              <w:top w:val="single" w:sz="4" w:space="0" w:color="auto"/>
              <w:bottom w:val="single" w:sz="4" w:space="0" w:color="auto"/>
            </w:tcBorders>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Masa volátil </w:t>
            </w:r>
            <w:r w:rsidRPr="00686018">
              <w:rPr>
                <w:rFonts w:ascii="Times New Roman" w:eastAsia="Times New Roman" w:hAnsi="Times New Roman" w:cs="Times New Roman"/>
                <w:b/>
                <w:bCs/>
                <w:color w:val="000000"/>
                <w:sz w:val="18"/>
                <w:szCs w:val="18"/>
                <w:lang w:eastAsia="es-EC"/>
              </w:rPr>
              <w:br/>
              <w:t>(g)</w:t>
            </w:r>
          </w:p>
        </w:tc>
        <w:tc>
          <w:tcPr>
            <w:tcW w:w="939" w:type="dxa"/>
            <w:tcBorders>
              <w:top w:val="single" w:sz="4" w:space="0" w:color="auto"/>
              <w:bottom w:val="single" w:sz="4" w:space="0" w:color="auto"/>
            </w:tcBorders>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Masa seca  </w:t>
            </w:r>
            <w:r w:rsidRPr="00686018">
              <w:rPr>
                <w:rFonts w:ascii="Times New Roman" w:eastAsia="Times New Roman" w:hAnsi="Times New Roman" w:cs="Times New Roman"/>
                <w:b/>
                <w:bCs/>
                <w:color w:val="000000"/>
                <w:sz w:val="18"/>
                <w:szCs w:val="18"/>
                <w:lang w:eastAsia="es-EC"/>
              </w:rPr>
              <w:br/>
              <w:t>ST (g)</w:t>
            </w:r>
          </w:p>
        </w:tc>
        <w:tc>
          <w:tcPr>
            <w:tcW w:w="1055" w:type="dxa"/>
            <w:tcBorders>
              <w:top w:val="single" w:sz="4" w:space="0" w:color="auto"/>
              <w:bottom w:val="single" w:sz="4" w:space="0" w:color="auto"/>
            </w:tcBorders>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Masa húmeda (g)</w:t>
            </w:r>
          </w:p>
        </w:tc>
        <w:tc>
          <w:tcPr>
            <w:tcW w:w="704" w:type="dxa"/>
            <w:tcBorders>
              <w:top w:val="single" w:sz="4" w:space="0" w:color="auto"/>
              <w:bottom w:val="single" w:sz="4" w:space="0" w:color="auto"/>
            </w:tcBorders>
            <w:shd w:val="clear" w:color="auto" w:fill="FFFFFF" w:themeFill="background1"/>
            <w:vAlign w:val="center"/>
            <w:hideMark/>
          </w:tcPr>
          <w:p w:rsidR="00DF46F4" w:rsidRPr="00686018" w:rsidRDefault="00160EB7"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TCO</w:t>
            </w:r>
            <w:r w:rsidR="00DF46F4" w:rsidRPr="00686018">
              <w:rPr>
                <w:rFonts w:ascii="Times New Roman" w:eastAsia="Times New Roman" w:hAnsi="Times New Roman" w:cs="Times New Roman"/>
                <w:b/>
                <w:bCs/>
                <w:color w:val="000000"/>
                <w:sz w:val="18"/>
                <w:szCs w:val="18"/>
                <w:lang w:eastAsia="es-EC"/>
              </w:rPr>
              <w:t xml:space="preserve"> </w:t>
            </w:r>
            <w:r w:rsidR="00DF46F4" w:rsidRPr="00686018">
              <w:rPr>
                <w:rFonts w:ascii="Times New Roman" w:eastAsia="Times New Roman" w:hAnsi="Times New Roman" w:cs="Times New Roman"/>
                <w:b/>
                <w:bCs/>
                <w:color w:val="000000"/>
                <w:sz w:val="18"/>
                <w:szCs w:val="18"/>
                <w:lang w:eastAsia="es-EC"/>
              </w:rPr>
              <w:br/>
              <w:t>g-SV/L</w:t>
            </w:r>
          </w:p>
        </w:tc>
        <w:tc>
          <w:tcPr>
            <w:tcW w:w="823" w:type="dxa"/>
            <w:tcBorders>
              <w:top w:val="single" w:sz="4" w:space="0" w:color="auto"/>
              <w:bottom w:val="single" w:sz="4" w:space="0" w:color="auto"/>
            </w:tcBorders>
            <w:shd w:val="clear" w:color="auto" w:fill="FFFFFF" w:themeFill="background1"/>
            <w:vAlign w:val="center"/>
            <w:hideMark/>
          </w:tcPr>
          <w:p w:rsidR="00DF46F4" w:rsidRPr="00686018" w:rsidRDefault="00160EB7"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 SV (P</w:t>
            </w:r>
            <w:r w:rsidR="00DF46F4" w:rsidRPr="00686018">
              <w:rPr>
                <w:rFonts w:ascii="Times New Roman" w:eastAsia="Times New Roman" w:hAnsi="Times New Roman" w:cs="Times New Roman"/>
                <w:b/>
                <w:bCs/>
                <w:sz w:val="18"/>
                <w:szCs w:val="18"/>
                <w:lang w:eastAsia="es-EC"/>
              </w:rPr>
              <w:t>/v)</w:t>
            </w:r>
          </w:p>
        </w:tc>
      </w:tr>
      <w:tr w:rsidR="00DF46F4" w:rsidRPr="00686018" w:rsidTr="00A31608">
        <w:trPr>
          <w:trHeight w:val="291"/>
          <w:jc w:val="center"/>
        </w:trPr>
        <w:tc>
          <w:tcPr>
            <w:tcW w:w="105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r w:rsidRPr="00686018">
              <w:rPr>
                <w:rFonts w:ascii="Times New Roman" w:eastAsia="Times New Roman" w:hAnsi="Times New Roman" w:cs="Times New Roman"/>
                <w:color w:val="FF0000"/>
                <w:sz w:val="18"/>
                <w:szCs w:val="18"/>
                <w:lang w:eastAsia="es-EC"/>
              </w:rPr>
              <w:t>1,116</w:t>
            </w:r>
          </w:p>
        </w:tc>
        <w:tc>
          <w:tcPr>
            <w:tcW w:w="822"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82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662" w:type="dxa"/>
            <w:vMerge w:val="restart"/>
            <w:tcBorders>
              <w:top w:val="single" w:sz="4" w:space="0" w:color="auto"/>
            </w:tcBorders>
            <w:shd w:val="clear" w:color="auto" w:fill="FFFFFF" w:themeFill="background1"/>
            <w:noWrap/>
            <w:vAlign w:val="center"/>
            <w:hideMark/>
          </w:tcPr>
          <w:p w:rsidR="00DF46F4" w:rsidRPr="00686018" w:rsidRDefault="00B978E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930</w:t>
            </w:r>
          </w:p>
        </w:tc>
        <w:tc>
          <w:tcPr>
            <w:tcW w:w="982"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939"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1055"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704"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116</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492</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657</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645</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279</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394</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126</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837</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119</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243</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260</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558</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789</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251</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558</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746</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829</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w:t>
            </w:r>
            <w:r w:rsidRPr="00686018">
              <w:rPr>
                <w:rFonts w:ascii="Times New Roman" w:eastAsia="Times New Roman" w:hAnsi="Times New Roman" w:cs="Times New Roman"/>
                <w:b/>
                <w:bCs/>
                <w:color w:val="FF0000"/>
                <w:sz w:val="18"/>
                <w:szCs w:val="18"/>
                <w:lang w:eastAsia="es-EC"/>
              </w:rPr>
              <w:t xml:space="preserve"> 3:1</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152</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837</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183</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377</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279</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373</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414</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w:t>
            </w:r>
            <w:r w:rsidRPr="00686018">
              <w:rPr>
                <w:rFonts w:ascii="Times New Roman" w:eastAsia="Times New Roman" w:hAnsi="Times New Roman" w:cs="Times New Roman"/>
                <w:b/>
                <w:bCs/>
                <w:color w:val="FF0000"/>
                <w:sz w:val="18"/>
                <w:szCs w:val="18"/>
                <w:lang w:eastAsia="es-EC"/>
              </w:rPr>
              <w:t xml:space="preserve"> 4:0</w:t>
            </w:r>
          </w:p>
        </w:tc>
        <w:tc>
          <w:tcPr>
            <w:tcW w:w="662" w:type="dxa"/>
            <w:vMerge w:val="restart"/>
            <w:shd w:val="clear" w:color="auto" w:fill="FFFFFF" w:themeFill="background1"/>
            <w:noWrap/>
            <w:vAlign w:val="center"/>
            <w:hideMark/>
          </w:tcPr>
          <w:p w:rsidR="00DF46F4" w:rsidRPr="00686018" w:rsidRDefault="00B978E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100.99</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116</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578</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502</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2,232</w:t>
            </w:r>
          </w:p>
        </w:tc>
        <w:tc>
          <w:tcPr>
            <w:tcW w:w="82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Inoculo</w:t>
            </w:r>
          </w:p>
        </w:tc>
        <w:tc>
          <w:tcPr>
            <w:tcW w:w="82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I:S - 2:1</w:t>
            </w:r>
          </w:p>
        </w:tc>
        <w:tc>
          <w:tcPr>
            <w:tcW w:w="66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p>
        </w:tc>
        <w:tc>
          <w:tcPr>
            <w:tcW w:w="98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2</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232</w:t>
            </w:r>
          </w:p>
        </w:tc>
        <w:tc>
          <w:tcPr>
            <w:tcW w:w="939"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3</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816</w:t>
            </w:r>
          </w:p>
        </w:tc>
        <w:tc>
          <w:tcPr>
            <w:tcW w:w="1055"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97</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348</w:t>
            </w:r>
          </w:p>
        </w:tc>
        <w:tc>
          <w:tcPr>
            <w:tcW w:w="704"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70C0"/>
                <w:sz w:val="18"/>
                <w:szCs w:val="18"/>
                <w:lang w:eastAsia="es-EC"/>
              </w:rPr>
            </w:pPr>
          </w:p>
        </w:tc>
        <w:tc>
          <w:tcPr>
            <w:tcW w:w="82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sz w:val="18"/>
                <w:szCs w:val="18"/>
                <w:lang w:eastAsia="es-EC"/>
              </w:rPr>
            </w:pPr>
          </w:p>
        </w:tc>
      </w:tr>
      <w:tr w:rsidR="00DF46F4" w:rsidRPr="00686018" w:rsidTr="00A31608">
        <w:trPr>
          <w:trHeight w:val="291"/>
          <w:jc w:val="center"/>
        </w:trPr>
        <w:tc>
          <w:tcPr>
            <w:tcW w:w="105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r w:rsidRPr="00686018">
              <w:rPr>
                <w:rFonts w:ascii="Times New Roman" w:eastAsia="Times New Roman" w:hAnsi="Times New Roman" w:cs="Times New Roman"/>
                <w:color w:val="FF0000"/>
                <w:sz w:val="18"/>
                <w:szCs w:val="18"/>
                <w:lang w:eastAsia="es-EC"/>
              </w:rPr>
              <w:t>1,674</w:t>
            </w:r>
          </w:p>
        </w:tc>
        <w:tc>
          <w:tcPr>
            <w:tcW w:w="822"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82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662" w:type="dxa"/>
            <w:vMerge w:val="restart"/>
            <w:tcBorders>
              <w:top w:val="single" w:sz="4" w:space="0" w:color="auto"/>
            </w:tcBorders>
            <w:shd w:val="clear" w:color="auto" w:fill="FFFFFF" w:themeFill="background1"/>
            <w:noWrap/>
            <w:vAlign w:val="center"/>
            <w:hideMark/>
          </w:tcPr>
          <w:p w:rsidR="00DF46F4" w:rsidRPr="00686018" w:rsidRDefault="00B978E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930</w:t>
            </w:r>
          </w:p>
        </w:tc>
        <w:tc>
          <w:tcPr>
            <w:tcW w:w="982"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939"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1055"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704"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674</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238</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486</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645</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419</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592</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188</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256</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679</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864</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260</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837</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183</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377</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837</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119</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243</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w:t>
            </w:r>
            <w:r w:rsidRPr="00686018">
              <w:rPr>
                <w:rFonts w:ascii="Times New Roman" w:eastAsia="Times New Roman" w:hAnsi="Times New Roman" w:cs="Times New Roman"/>
                <w:b/>
                <w:bCs/>
                <w:color w:val="FF0000"/>
                <w:sz w:val="18"/>
                <w:szCs w:val="18"/>
                <w:lang w:eastAsia="es-EC"/>
              </w:rPr>
              <w:t xml:space="preserve"> 3:1</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152</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256</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775</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565</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419</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560</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621</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w:t>
            </w:r>
            <w:r w:rsidRPr="00686018">
              <w:rPr>
                <w:rFonts w:ascii="Times New Roman" w:eastAsia="Times New Roman" w:hAnsi="Times New Roman" w:cs="Times New Roman"/>
                <w:b/>
                <w:bCs/>
                <w:color w:val="FF0000"/>
                <w:sz w:val="18"/>
                <w:szCs w:val="18"/>
                <w:lang w:eastAsia="es-EC"/>
              </w:rPr>
              <w:t xml:space="preserve"> 4:0</w:t>
            </w:r>
          </w:p>
        </w:tc>
        <w:tc>
          <w:tcPr>
            <w:tcW w:w="662" w:type="dxa"/>
            <w:vMerge w:val="restart"/>
            <w:shd w:val="clear" w:color="auto" w:fill="FFFFFF" w:themeFill="background1"/>
            <w:noWrap/>
            <w:vAlign w:val="center"/>
            <w:hideMark/>
          </w:tcPr>
          <w:p w:rsidR="00DF46F4" w:rsidRPr="00686018" w:rsidRDefault="00B978E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100.99</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674</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366</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753</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1,674</w:t>
            </w:r>
          </w:p>
        </w:tc>
        <w:tc>
          <w:tcPr>
            <w:tcW w:w="82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Inoculo</w:t>
            </w:r>
          </w:p>
        </w:tc>
        <w:tc>
          <w:tcPr>
            <w:tcW w:w="82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I:S - 1:1</w:t>
            </w:r>
          </w:p>
        </w:tc>
        <w:tc>
          <w:tcPr>
            <w:tcW w:w="66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sz w:val="18"/>
                <w:szCs w:val="18"/>
                <w:lang w:eastAsia="es-EC"/>
              </w:rPr>
            </w:pPr>
            <w:r w:rsidRPr="00686018">
              <w:rPr>
                <w:rFonts w:ascii="Times New Roman" w:eastAsia="Times New Roman" w:hAnsi="Times New Roman" w:cs="Times New Roman"/>
                <w:b/>
                <w:sz w:val="18"/>
                <w:szCs w:val="18"/>
                <w:lang w:eastAsia="es-EC"/>
              </w:rPr>
              <w:t> </w:t>
            </w:r>
          </w:p>
        </w:tc>
        <w:tc>
          <w:tcPr>
            <w:tcW w:w="98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1</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674</w:t>
            </w:r>
          </w:p>
        </w:tc>
        <w:tc>
          <w:tcPr>
            <w:tcW w:w="939"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2</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862</w:t>
            </w:r>
          </w:p>
        </w:tc>
        <w:tc>
          <w:tcPr>
            <w:tcW w:w="1055"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73</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011</w:t>
            </w:r>
          </w:p>
        </w:tc>
        <w:tc>
          <w:tcPr>
            <w:tcW w:w="704"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color w:val="0070C0"/>
                <w:sz w:val="18"/>
                <w:szCs w:val="18"/>
                <w:lang w:eastAsia="es-EC"/>
              </w:rPr>
            </w:pPr>
          </w:p>
        </w:tc>
        <w:tc>
          <w:tcPr>
            <w:tcW w:w="82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sz w:val="18"/>
                <w:szCs w:val="18"/>
                <w:lang w:eastAsia="es-EC"/>
              </w:rPr>
            </w:pPr>
          </w:p>
        </w:tc>
      </w:tr>
      <w:tr w:rsidR="00DF46F4" w:rsidRPr="00686018" w:rsidTr="00A31608">
        <w:trPr>
          <w:trHeight w:val="291"/>
          <w:jc w:val="center"/>
        </w:trPr>
        <w:tc>
          <w:tcPr>
            <w:tcW w:w="105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r w:rsidRPr="00686018">
              <w:rPr>
                <w:rFonts w:ascii="Times New Roman" w:eastAsia="Times New Roman" w:hAnsi="Times New Roman" w:cs="Times New Roman"/>
                <w:color w:val="FF0000"/>
                <w:sz w:val="18"/>
                <w:szCs w:val="18"/>
                <w:lang w:eastAsia="es-EC"/>
              </w:rPr>
              <w:t>2,232</w:t>
            </w:r>
          </w:p>
        </w:tc>
        <w:tc>
          <w:tcPr>
            <w:tcW w:w="822"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82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662" w:type="dxa"/>
            <w:vMerge w:val="restart"/>
            <w:tcBorders>
              <w:top w:val="single" w:sz="4" w:space="0" w:color="auto"/>
            </w:tcBorders>
            <w:shd w:val="clear" w:color="auto" w:fill="FFFFFF" w:themeFill="background1"/>
            <w:noWrap/>
            <w:vAlign w:val="center"/>
            <w:hideMark/>
          </w:tcPr>
          <w:p w:rsidR="00DF46F4" w:rsidRPr="00686018" w:rsidRDefault="00B978E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930</w:t>
            </w:r>
          </w:p>
        </w:tc>
        <w:tc>
          <w:tcPr>
            <w:tcW w:w="982"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939"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1055" w:type="dxa"/>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704"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tcBorders>
              <w:top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232</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984</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314</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645</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558</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789</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251</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674</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238</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486</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260</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116</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578</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502</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116</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492</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657</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w:t>
            </w:r>
            <w:r w:rsidRPr="00686018">
              <w:rPr>
                <w:rFonts w:ascii="Times New Roman" w:eastAsia="Times New Roman" w:hAnsi="Times New Roman" w:cs="Times New Roman"/>
                <w:b/>
                <w:bCs/>
                <w:color w:val="FF0000"/>
                <w:sz w:val="18"/>
                <w:szCs w:val="18"/>
                <w:lang w:eastAsia="es-EC"/>
              </w:rPr>
              <w:t xml:space="preserve"> 3:1</w:t>
            </w:r>
          </w:p>
        </w:tc>
        <w:tc>
          <w:tcPr>
            <w:tcW w:w="662"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152</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674</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366</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753</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558</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746</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829</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w:t>
            </w:r>
            <w:r w:rsidRPr="00686018">
              <w:rPr>
                <w:rFonts w:ascii="Times New Roman" w:eastAsia="Times New Roman" w:hAnsi="Times New Roman" w:cs="Times New Roman"/>
                <w:b/>
                <w:bCs/>
                <w:color w:val="FF0000"/>
                <w:sz w:val="18"/>
                <w:szCs w:val="18"/>
                <w:lang w:eastAsia="es-EC"/>
              </w:rPr>
              <w:t xml:space="preserve"> 4:0</w:t>
            </w:r>
          </w:p>
        </w:tc>
        <w:tc>
          <w:tcPr>
            <w:tcW w:w="662" w:type="dxa"/>
            <w:vMerge w:val="restart"/>
            <w:shd w:val="clear" w:color="auto" w:fill="FFFFFF" w:themeFill="background1"/>
            <w:noWrap/>
            <w:vAlign w:val="center"/>
            <w:hideMark/>
          </w:tcPr>
          <w:p w:rsidR="00DF46F4" w:rsidRPr="00686018" w:rsidRDefault="00B978E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100.99</w:t>
            </w: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232</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155</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004</w:t>
            </w:r>
          </w:p>
        </w:tc>
        <w:tc>
          <w:tcPr>
            <w:tcW w:w="704"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823" w:type="dxa"/>
            <w:vMerge w:val="restart"/>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r w:rsidRPr="00686018">
              <w:rPr>
                <w:rFonts w:ascii="Times New Roman" w:eastAsia="Times New Roman" w:hAnsi="Times New Roman" w:cs="Times New Roman"/>
                <w:bCs/>
                <w:sz w:val="18"/>
                <w:szCs w:val="18"/>
                <w:lang w:eastAsia="es-EC"/>
              </w:rPr>
              <w:t>1</w:t>
            </w:r>
            <w:r w:rsidR="00F737D9" w:rsidRPr="00686018">
              <w:rPr>
                <w:rFonts w:ascii="Times New Roman" w:eastAsia="Times New Roman" w:hAnsi="Times New Roman" w:cs="Times New Roman"/>
                <w:bCs/>
                <w:sz w:val="18"/>
                <w:szCs w:val="18"/>
                <w:lang w:eastAsia="es-EC"/>
              </w:rPr>
              <w:t>.</w:t>
            </w:r>
            <w:r w:rsidRPr="00686018">
              <w:rPr>
                <w:rFonts w:ascii="Times New Roman" w:eastAsia="Times New Roman" w:hAnsi="Times New Roman" w:cs="Times New Roman"/>
                <w:bCs/>
                <w:sz w:val="18"/>
                <w:szCs w:val="18"/>
                <w:lang w:eastAsia="es-EC"/>
              </w:rPr>
              <w:t>83</w:t>
            </w:r>
          </w:p>
        </w:tc>
      </w:tr>
      <w:tr w:rsidR="00DF46F4" w:rsidRPr="00686018" w:rsidTr="00A31608">
        <w:trPr>
          <w:trHeight w:val="291"/>
          <w:jc w:val="center"/>
        </w:trPr>
        <w:tc>
          <w:tcPr>
            <w:tcW w:w="105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FF0000"/>
                <w:sz w:val="18"/>
                <w:szCs w:val="18"/>
                <w:lang w:eastAsia="es-EC"/>
              </w:rPr>
            </w:pPr>
          </w:p>
        </w:tc>
        <w:tc>
          <w:tcPr>
            <w:tcW w:w="82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
                <w:bCs/>
                <w:color w:val="000000"/>
                <w:sz w:val="18"/>
                <w:szCs w:val="18"/>
                <w:lang w:eastAsia="es-EC"/>
              </w:rPr>
            </w:pPr>
          </w:p>
        </w:tc>
        <w:tc>
          <w:tcPr>
            <w:tcW w:w="662"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982"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939"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1055" w:type="dxa"/>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F737D9"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c>
          <w:tcPr>
            <w:tcW w:w="704"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0000"/>
                <w:sz w:val="18"/>
                <w:szCs w:val="18"/>
                <w:lang w:eastAsia="es-EC"/>
              </w:rPr>
            </w:pPr>
          </w:p>
        </w:tc>
        <w:tc>
          <w:tcPr>
            <w:tcW w:w="823" w:type="dxa"/>
            <w:vMerge/>
            <w:shd w:val="clear" w:color="auto" w:fill="FFFFFF" w:themeFill="background1"/>
            <w:vAlign w:val="center"/>
            <w:hideMark/>
          </w:tcPr>
          <w:p w:rsidR="00DF46F4" w:rsidRPr="00686018" w:rsidRDefault="00DF46F4" w:rsidP="00A31608">
            <w:pPr>
              <w:spacing w:after="0" w:line="240" w:lineRule="auto"/>
              <w:jc w:val="both"/>
              <w:rPr>
                <w:rFonts w:ascii="Times New Roman" w:eastAsia="Times New Roman" w:hAnsi="Times New Roman" w:cs="Times New Roman"/>
                <w:bCs/>
                <w:sz w:val="18"/>
                <w:szCs w:val="18"/>
                <w:lang w:eastAsia="es-EC"/>
              </w:rPr>
            </w:pPr>
          </w:p>
        </w:tc>
      </w:tr>
      <w:tr w:rsidR="00DF46F4" w:rsidRPr="00686018" w:rsidTr="00A31608">
        <w:trPr>
          <w:trHeight w:val="291"/>
          <w:jc w:val="center"/>
        </w:trPr>
        <w:tc>
          <w:tcPr>
            <w:tcW w:w="105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1,116</w:t>
            </w:r>
          </w:p>
        </w:tc>
        <w:tc>
          <w:tcPr>
            <w:tcW w:w="82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Inoculo</w:t>
            </w:r>
          </w:p>
        </w:tc>
        <w:tc>
          <w:tcPr>
            <w:tcW w:w="82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I:S - 1:2</w:t>
            </w:r>
          </w:p>
        </w:tc>
        <w:tc>
          <w:tcPr>
            <w:tcW w:w="66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 </w:t>
            </w:r>
          </w:p>
        </w:tc>
        <w:tc>
          <w:tcPr>
            <w:tcW w:w="982"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1</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116</w:t>
            </w:r>
          </w:p>
        </w:tc>
        <w:tc>
          <w:tcPr>
            <w:tcW w:w="939"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1</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908</w:t>
            </w:r>
          </w:p>
        </w:tc>
        <w:tc>
          <w:tcPr>
            <w:tcW w:w="1055"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48</w:t>
            </w:r>
            <w:r w:rsidR="00F737D9" w:rsidRPr="00686018">
              <w:rPr>
                <w:rFonts w:ascii="Times New Roman" w:eastAsia="Times New Roman" w:hAnsi="Times New Roman" w:cs="Times New Roman"/>
                <w:b/>
                <w:bCs/>
                <w:sz w:val="18"/>
                <w:szCs w:val="18"/>
                <w:lang w:eastAsia="es-EC"/>
              </w:rPr>
              <w:t>.</w:t>
            </w:r>
            <w:r w:rsidRPr="00686018">
              <w:rPr>
                <w:rFonts w:ascii="Times New Roman" w:eastAsia="Times New Roman" w:hAnsi="Times New Roman" w:cs="Times New Roman"/>
                <w:b/>
                <w:bCs/>
                <w:sz w:val="18"/>
                <w:szCs w:val="18"/>
                <w:lang w:eastAsia="es-EC"/>
              </w:rPr>
              <w:t>674</w:t>
            </w:r>
          </w:p>
        </w:tc>
        <w:tc>
          <w:tcPr>
            <w:tcW w:w="704"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color w:val="0070C0"/>
                <w:sz w:val="18"/>
                <w:szCs w:val="18"/>
                <w:lang w:eastAsia="es-EC"/>
              </w:rPr>
            </w:pPr>
            <w:r w:rsidRPr="00686018">
              <w:rPr>
                <w:rFonts w:ascii="Times New Roman" w:eastAsia="Times New Roman" w:hAnsi="Times New Roman" w:cs="Times New Roman"/>
                <w:color w:val="0070C0"/>
                <w:sz w:val="18"/>
                <w:szCs w:val="18"/>
                <w:lang w:eastAsia="es-EC"/>
              </w:rPr>
              <w:t> </w:t>
            </w:r>
          </w:p>
        </w:tc>
        <w:tc>
          <w:tcPr>
            <w:tcW w:w="823" w:type="dxa"/>
            <w:tcBorders>
              <w:bottom w:val="single" w:sz="4" w:space="0" w:color="auto"/>
            </w:tcBorders>
            <w:shd w:val="clear" w:color="auto" w:fill="FFFFFF" w:themeFill="background1"/>
            <w:noWrap/>
            <w:vAlign w:val="center"/>
            <w:hideMark/>
          </w:tcPr>
          <w:p w:rsidR="00DF46F4" w:rsidRPr="00686018" w:rsidRDefault="00DF46F4" w:rsidP="00A31608">
            <w:pPr>
              <w:spacing w:after="0" w:line="240" w:lineRule="auto"/>
              <w:jc w:val="both"/>
              <w:rPr>
                <w:rFonts w:ascii="Times New Roman" w:eastAsia="Times New Roman" w:hAnsi="Times New Roman" w:cs="Times New Roman"/>
                <w:sz w:val="18"/>
                <w:szCs w:val="18"/>
                <w:lang w:eastAsia="es-EC"/>
              </w:rPr>
            </w:pPr>
          </w:p>
        </w:tc>
      </w:tr>
    </w:tbl>
    <w:p w:rsidR="00DF46F4" w:rsidRPr="00686018" w:rsidRDefault="00DF46F4"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DF46F4" w:rsidRPr="00686018" w:rsidRDefault="00DF46F4" w:rsidP="00A31608">
      <w:pPr>
        <w:spacing w:before="360" w:after="360"/>
        <w:jc w:val="both"/>
        <w:rPr>
          <w:rFonts w:ascii="Times New Roman" w:eastAsiaTheme="minorEastAsia" w:hAnsi="Times New Roman" w:cs="Times New Roman"/>
          <w:color w:val="000000" w:themeColor="text1"/>
          <w:sz w:val="24"/>
        </w:rPr>
      </w:pPr>
      <w:r w:rsidRPr="00686018">
        <w:rPr>
          <w:rFonts w:ascii="Times New Roman" w:eastAsiaTheme="minorEastAsia" w:hAnsi="Times New Roman" w:cs="Times New Roman"/>
          <w:color w:val="000000" w:themeColor="text1"/>
          <w:sz w:val="24"/>
        </w:rPr>
        <w:t xml:space="preserve">La tabla anterior indica </w:t>
      </w:r>
      <w:r w:rsidR="00524A5A" w:rsidRPr="00686018">
        <w:rPr>
          <w:rFonts w:ascii="Times New Roman" w:eastAsiaTheme="minorEastAsia" w:hAnsi="Times New Roman" w:cs="Times New Roman"/>
          <w:color w:val="000000" w:themeColor="text1"/>
          <w:sz w:val="24"/>
        </w:rPr>
        <w:t xml:space="preserve">a </w:t>
      </w:r>
      <w:r w:rsidRPr="00686018">
        <w:rPr>
          <w:rFonts w:ascii="Times New Roman" w:eastAsiaTheme="minorEastAsia" w:hAnsi="Times New Roman" w:cs="Times New Roman"/>
          <w:color w:val="000000" w:themeColor="text1"/>
          <w:sz w:val="24"/>
        </w:rPr>
        <w:t>los sustratos y sus relaciones respectivas en base a solidos volátiles. Los SV de estos sustratos son equivalentes a la masa de materia fresca convertidos con la ayuda de los porcentajes de SV y ST de cada sustrato. Esta materia fresca es añadida a los digestores en relación a I/S 2:1, 1:1 y 1:2 correspondientes a los volúmenes 62</w:t>
      </w:r>
      <w:r w:rsidR="00DD14D0">
        <w:rPr>
          <w:rFonts w:ascii="Times New Roman" w:eastAsiaTheme="minorEastAsia" w:hAnsi="Times New Roman" w:cs="Times New Roman"/>
          <w:color w:val="000000" w:themeColor="text1"/>
          <w:sz w:val="24"/>
        </w:rPr>
        <w:t>mL</w:t>
      </w:r>
      <w:r w:rsidRPr="00686018">
        <w:rPr>
          <w:rFonts w:ascii="Times New Roman" w:eastAsiaTheme="minorEastAsia" w:hAnsi="Times New Roman" w:cs="Times New Roman"/>
          <w:color w:val="000000" w:themeColor="text1"/>
          <w:sz w:val="24"/>
        </w:rPr>
        <w:t>, 93</w:t>
      </w:r>
      <w:r w:rsidR="00DD14D0">
        <w:rPr>
          <w:rFonts w:ascii="Times New Roman" w:eastAsiaTheme="minorEastAsia" w:hAnsi="Times New Roman" w:cs="Times New Roman"/>
          <w:color w:val="000000" w:themeColor="text1"/>
          <w:sz w:val="24"/>
        </w:rPr>
        <w:t>mL</w:t>
      </w:r>
      <w:r w:rsidRPr="00686018">
        <w:rPr>
          <w:rFonts w:ascii="Times New Roman" w:eastAsiaTheme="minorEastAsia" w:hAnsi="Times New Roman" w:cs="Times New Roman"/>
          <w:color w:val="000000" w:themeColor="text1"/>
          <w:sz w:val="24"/>
        </w:rPr>
        <w:t xml:space="preserve"> y 124</w:t>
      </w:r>
      <w:r w:rsidR="00DD14D0">
        <w:rPr>
          <w:rFonts w:ascii="Times New Roman" w:eastAsiaTheme="minorEastAsia" w:hAnsi="Times New Roman" w:cs="Times New Roman"/>
          <w:color w:val="000000" w:themeColor="text1"/>
          <w:sz w:val="24"/>
        </w:rPr>
        <w:t>mL</w:t>
      </w:r>
      <w:r w:rsidRPr="00686018">
        <w:rPr>
          <w:rFonts w:ascii="Times New Roman" w:eastAsiaTheme="minorEastAsia" w:hAnsi="Times New Roman" w:cs="Times New Roman"/>
          <w:color w:val="000000" w:themeColor="text1"/>
          <w:sz w:val="24"/>
        </w:rPr>
        <w:t>. Completamos estos volúmenes añadiendo agua destilada para llegar a un porcentaje de solidos volátiles de</w:t>
      </w:r>
      <w:r w:rsidRPr="00686018">
        <w:rPr>
          <w:rFonts w:ascii="Times New Roman" w:eastAsiaTheme="minorEastAsia" w:hAnsi="Times New Roman" w:cs="Times New Roman"/>
          <w:sz w:val="24"/>
        </w:rPr>
        <w:t xml:space="preserve"> 1.83%.</w:t>
      </w:r>
    </w:p>
    <w:p w:rsidR="00DF46F4" w:rsidRPr="00686018" w:rsidRDefault="00DF46F4" w:rsidP="00A31608">
      <w:pPr>
        <w:pStyle w:val="Ttulo4"/>
        <w:numPr>
          <w:ilvl w:val="2"/>
          <w:numId w:val="4"/>
        </w:numPr>
        <w:ind w:left="505" w:hanging="505"/>
        <w:jc w:val="both"/>
        <w:rPr>
          <w:rFonts w:ascii="Times New Roman" w:hAnsi="Times New Roman" w:cs="Times New Roman"/>
          <w:i w:val="0"/>
          <w:u w:val="none"/>
        </w:rPr>
      </w:pPr>
      <w:bookmarkStart w:id="205" w:name="_Toc9537832"/>
      <w:r w:rsidRPr="00686018">
        <w:rPr>
          <w:rFonts w:ascii="Times New Roman" w:hAnsi="Times New Roman" w:cs="Times New Roman"/>
          <w:i w:val="0"/>
          <w:u w:val="none"/>
        </w:rPr>
        <w:lastRenderedPageBreak/>
        <w:t>Métodos de evaluación y datos a tomarse</w:t>
      </w:r>
      <w:bookmarkEnd w:id="205"/>
    </w:p>
    <w:p w:rsidR="00C41169"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Las respuestas a medir </w:t>
      </w:r>
      <w:r w:rsidR="00CC5E9A" w:rsidRPr="00686018">
        <w:rPr>
          <w:rFonts w:ascii="Times New Roman" w:hAnsi="Times New Roman" w:cs="Times New Roman"/>
          <w:sz w:val="24"/>
          <w:szCs w:val="24"/>
        </w:rPr>
        <w:t>fueron</w:t>
      </w:r>
      <w:r w:rsidRPr="00686018">
        <w:rPr>
          <w:rFonts w:ascii="Times New Roman" w:hAnsi="Times New Roman" w:cs="Times New Roman"/>
          <w:sz w:val="24"/>
          <w:szCs w:val="24"/>
        </w:rPr>
        <w:t xml:space="preserve">: presión del biogás, tiempo de retención hidráulico, composición química del biogás y rendimiento diario y acumulado de biogás. </w:t>
      </w:r>
    </w:p>
    <w:p w:rsidR="00020FD1"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Además, se emple</w:t>
      </w:r>
      <w:r w:rsidR="00554050" w:rsidRPr="00686018">
        <w:rPr>
          <w:rFonts w:ascii="Times New Roman" w:hAnsi="Times New Roman" w:cs="Times New Roman"/>
          <w:sz w:val="24"/>
          <w:szCs w:val="24"/>
        </w:rPr>
        <w:t>ó</w:t>
      </w:r>
      <w:r w:rsidRPr="00686018">
        <w:rPr>
          <w:rFonts w:ascii="Times New Roman" w:hAnsi="Times New Roman" w:cs="Times New Roman"/>
          <w:sz w:val="24"/>
          <w:szCs w:val="24"/>
        </w:rPr>
        <w:t xml:space="preserve"> </w:t>
      </w:r>
      <w:r w:rsidR="008E5756" w:rsidRPr="00686018">
        <w:rPr>
          <w:rFonts w:ascii="Times New Roman" w:hAnsi="Times New Roman" w:cs="Times New Roman"/>
          <w:sz w:val="24"/>
          <w:szCs w:val="24"/>
        </w:rPr>
        <w:t xml:space="preserve">el Modelo Modificado de Gompertz, Modelo de función de Transferencia, Modelo de Primer Orden y Modelo del Cono para ajustar el rendimiento de </w:t>
      </w:r>
      <w:r w:rsidRPr="00686018">
        <w:rPr>
          <w:rFonts w:ascii="Times New Roman" w:hAnsi="Times New Roman" w:cs="Times New Roman"/>
          <w:sz w:val="24"/>
          <w:szCs w:val="24"/>
        </w:rPr>
        <w:t>metano</w:t>
      </w:r>
      <w:r w:rsidR="008E5756" w:rsidRPr="00686018">
        <w:rPr>
          <w:rFonts w:ascii="Times New Roman" w:hAnsi="Times New Roman" w:cs="Times New Roman"/>
          <w:sz w:val="24"/>
          <w:szCs w:val="24"/>
        </w:rPr>
        <w:t xml:space="preserve"> acumulado</w:t>
      </w:r>
      <w:r w:rsidRPr="00686018">
        <w:rPr>
          <w:rFonts w:ascii="Times New Roman" w:hAnsi="Times New Roman" w:cs="Times New Roman"/>
          <w:sz w:val="24"/>
          <w:szCs w:val="24"/>
        </w:rPr>
        <w:t>.</w:t>
      </w:r>
      <w:r w:rsidR="00C41169" w:rsidRPr="00686018">
        <w:rPr>
          <w:rFonts w:ascii="Times New Roman" w:hAnsi="Times New Roman" w:cs="Times New Roman"/>
          <w:sz w:val="24"/>
          <w:szCs w:val="24"/>
        </w:rPr>
        <w:t xml:space="preserve"> Tres parámetros estadísticos </w:t>
      </w:r>
      <w:r w:rsidR="00554050" w:rsidRPr="00686018">
        <w:rPr>
          <w:rFonts w:ascii="Times New Roman" w:hAnsi="Times New Roman" w:cs="Times New Roman"/>
          <w:sz w:val="24"/>
          <w:szCs w:val="24"/>
        </w:rPr>
        <w:t>fuero</w:t>
      </w:r>
      <w:r w:rsidR="00C41169" w:rsidRPr="00686018">
        <w:rPr>
          <w:rFonts w:ascii="Times New Roman" w:hAnsi="Times New Roman" w:cs="Times New Roman"/>
          <w:sz w:val="24"/>
          <w:szCs w:val="24"/>
        </w:rPr>
        <w:t xml:space="preserve">n calculados con el fin de validar el ajuste de los modelos descritos en la </w:t>
      </w:r>
      <w:r w:rsidR="00C41169" w:rsidRPr="00686018">
        <w:rPr>
          <w:rFonts w:ascii="Times New Roman" w:hAnsi="Times New Roman" w:cs="Times New Roman"/>
          <w:b/>
          <w:sz w:val="24"/>
          <w:szCs w:val="24"/>
        </w:rPr>
        <w:t>sección 3.3</w:t>
      </w:r>
      <w:r w:rsidR="00C41169" w:rsidRPr="00686018">
        <w:rPr>
          <w:rFonts w:ascii="Times New Roman" w:hAnsi="Times New Roman" w:cs="Times New Roman"/>
          <w:sz w:val="24"/>
          <w:szCs w:val="24"/>
        </w:rPr>
        <w:t xml:space="preserve"> de acuerdo a las siguientes ecuaciones</w:t>
      </w:r>
      <w:r w:rsidR="00A63018" w:rsidRPr="00686018">
        <w:rPr>
          <w:rFonts w:ascii="Times New Roman" w:hAnsi="Times New Roman" w:cs="Times New Roman"/>
          <w:sz w:val="24"/>
          <w:szCs w:val="24"/>
        </w:rPr>
        <w:t xml:space="preserve"> </w:t>
      </w:r>
      <w:r w:rsidR="00D96D6E" w:rsidRPr="00686018">
        <w:rPr>
          <w:rFonts w:ascii="Times New Roman" w:hAnsi="Times New Roman" w:cs="Times New Roman"/>
          <w:sz w:val="24"/>
          <w:szCs w:val="24"/>
        </w:rPr>
        <w:fldChar w:fldCharType="begin" w:fldLock="1"/>
      </w:r>
      <w:r w:rsidR="00D96D6E" w:rsidRPr="00686018">
        <w:rPr>
          <w:rFonts w:ascii="Times New Roman" w:hAnsi="Times New Roman" w:cs="Times New Roman"/>
          <w:sz w:val="24"/>
          <w:szCs w:val="24"/>
        </w:rPr>
        <w:instrText>ADDIN CSL_CITATION {"citationItems":[{"id":"ITEM-1","itemData":{"DOI":"10.1016/j.biortech.2012.12.183","ISSN":"18732976","abstract":"Anaerobic batch digestion of four feedstocks was conducted at 35 and 50 °C: switchgrass; Spirulina platensis algae; and two mixtures of both switchgrass and S. platensis. Mixture 1 was composed of 87% switchgrass (based on volatile solids) and 13% S. platensis. Mixture 2 was composed of 67% switchgrass and 33% S. platensis. The kinetics of methane production from these feedstocks was studied using four first order models: exponential, Gompertz, Fitzhugh, and Cone. The methane yields after 40. days of digestion at 35 °C were 355, 127, 143 and 198. ml/g VS, respectively for S. platensis, switchgrass, and Mixtures 1 and 2, while the yields at 50 °C were 358, 167, 198, and 236. ml/g VS, respectively. Based on Akaike's information criterion, the Cone model best described the experimental data. The Cone model was validated with experimental data collected from the digestion of a third mixture that was composed of 83% switchgrass and 17% S. platensis. © 2013.","author":[{"dropping-particle":"","family":"El-Mashad","given":"Hamed M.","non-dropping-particle":"","parse-names":false,"suffix":""}],"container-title":"Bioresource Technology","id":"ITEM-1","issued":{"date-parts":[["2013"]]},"page":"305-312","title":"Kinetics of methane production from the codigestion of switchgrass and Spirulina platensis algae","type":"article-journal","volume":"132"},"uris":["http://www.mendeley.com/documents/?uuid=67ee805b-5b7c-40a0-9202-2cbb4c6c895d"]}],"mendeley":{"formattedCitation":"(El-Mashad 2013)","plainTextFormattedCitation":"(El-Mashad 2013)","previouslyFormattedCitation":"(El-Mashad 2013)"},"properties":{"noteIndex":0},"schema":"https://github.com/citation-style-language/schema/raw/master/csl-citation.json"}</w:instrText>
      </w:r>
      <w:r w:rsidR="00D96D6E" w:rsidRPr="00686018">
        <w:rPr>
          <w:rFonts w:ascii="Times New Roman" w:hAnsi="Times New Roman" w:cs="Times New Roman"/>
          <w:sz w:val="24"/>
          <w:szCs w:val="24"/>
        </w:rPr>
        <w:fldChar w:fldCharType="separate"/>
      </w:r>
      <w:r w:rsidR="00D96D6E" w:rsidRPr="00686018">
        <w:rPr>
          <w:rFonts w:ascii="Times New Roman" w:hAnsi="Times New Roman" w:cs="Times New Roman"/>
          <w:noProof/>
          <w:sz w:val="24"/>
          <w:szCs w:val="24"/>
        </w:rPr>
        <w:t>(El-Mashad 2013)</w:t>
      </w:r>
      <w:r w:rsidR="00D96D6E" w:rsidRPr="00686018">
        <w:rPr>
          <w:rFonts w:ascii="Times New Roman" w:hAnsi="Times New Roman" w:cs="Times New Roman"/>
          <w:sz w:val="24"/>
          <w:szCs w:val="24"/>
        </w:rPr>
        <w:fldChar w:fldCharType="end"/>
      </w:r>
      <w:r w:rsidR="00C41169" w:rsidRPr="00686018">
        <w:rPr>
          <w:rFonts w:ascii="Times New Roman" w:hAnsi="Times New Roman" w:cs="Times New Roman"/>
          <w:sz w:val="24"/>
          <w:szCs w:val="24"/>
        </w:rPr>
        <w:t xml:space="preserve">. </w:t>
      </w:r>
    </w:p>
    <w:p w:rsidR="00C41169" w:rsidRPr="00686018" w:rsidRDefault="00C41169" w:rsidP="00A31608">
      <w:pPr>
        <w:jc w:val="both"/>
        <w:rPr>
          <w:rFonts w:ascii="Times New Roman" w:hAnsi="Times New Roman" w:cs="Times New Roman"/>
          <w:i/>
          <w:sz w:val="24"/>
          <w:szCs w:val="24"/>
        </w:rPr>
      </w:pPr>
      <w:r w:rsidRPr="00686018">
        <w:rPr>
          <w:rFonts w:ascii="Times New Roman" w:hAnsi="Times New Roman" w:cs="Times New Roman"/>
          <w:i/>
          <w:sz w:val="24"/>
          <w:szCs w:val="24"/>
        </w:rPr>
        <w:t>Raíz cuadrática media del error (RCME)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1"/>
        <w:gridCol w:w="616"/>
      </w:tblGrid>
      <w:tr w:rsidR="00CF0314" w:rsidRPr="00686018" w:rsidTr="00304BAA">
        <w:tc>
          <w:tcPr>
            <w:tcW w:w="7933" w:type="dxa"/>
            <w:vAlign w:val="center"/>
          </w:tcPr>
          <w:p w:rsidR="00CF0314" w:rsidRPr="00686018" w:rsidRDefault="00686018" w:rsidP="00A31608">
            <w:pPr>
              <w:jc w:val="both"/>
              <w:rPr>
                <w:rFonts w:ascii="Times New Roman" w:hAnsi="Times New Roman" w:cs="Times New Roman"/>
                <w:sz w:val="24"/>
                <w:szCs w:val="24"/>
              </w:rPr>
            </w:pPr>
            <m:oMathPara>
              <m:oMathParaPr>
                <m:jc m:val="left"/>
              </m:oMathParaPr>
              <m:oMath>
                <m:r>
                  <w:rPr>
                    <w:rFonts w:ascii="Cambria Math" w:hAnsi="Cambria Math" w:cs="Times New Roman"/>
                    <w:sz w:val="24"/>
                    <w:szCs w:val="24"/>
                  </w:rPr>
                  <m:t>RCME</m:t>
                </m:r>
                <m:r>
                  <m:rPr>
                    <m:sty m:val="p"/>
                  </m:rPr>
                  <w:rPr>
                    <w:rFonts w:ascii="Cambria Math" w:hAnsi="Cambria Math" w:cs="Times New Roman"/>
                    <w:sz w:val="24"/>
                    <w:szCs w:val="24"/>
                  </w:rPr>
                  <m:t>=</m:t>
                </m:r>
                <m:rad>
                  <m:radPr>
                    <m:degHide m:val="1"/>
                    <m:ctrlPr>
                      <w:rPr>
                        <w:rFonts w:ascii="Cambria Math" w:hAnsi="Cambria Math" w:cs="Times New Roman"/>
                        <w:sz w:val="24"/>
                        <w:szCs w:val="24"/>
                      </w:rPr>
                    </m:ctrlPr>
                  </m:radPr>
                  <m:deg/>
                  <m:e>
                    <m:nary>
                      <m:naryPr>
                        <m:chr m:val="∑"/>
                        <m:limLoc m:val="undOvr"/>
                        <m:ctrlPr>
                          <w:rPr>
                            <w:rFonts w:ascii="Cambria Math" w:hAnsi="Cambria Math" w:cs="Times New Roman"/>
                            <w:sz w:val="24"/>
                            <w:szCs w:val="24"/>
                          </w:rPr>
                        </m:ctrlPr>
                      </m:naryPr>
                      <m:sub>
                        <m:r>
                          <w:rPr>
                            <w:rFonts w:ascii="Cambria Math" w:hAnsi="Cambria Math" w:cs="Times New Roman"/>
                            <w:sz w:val="24"/>
                            <w:szCs w:val="24"/>
                          </w:rPr>
                          <m:t>n</m:t>
                        </m:r>
                        <m:r>
                          <m:rPr>
                            <m:sty m:val="p"/>
                          </m:rPr>
                          <w:rPr>
                            <w:rFonts w:ascii="Cambria Math" w:hAnsi="Cambria Math" w:cs="Times New Roman"/>
                            <w:sz w:val="24"/>
                            <w:szCs w:val="24"/>
                          </w:rPr>
                          <m:t>=1</m:t>
                        </m:r>
                      </m:sub>
                      <m:sup>
                        <m:r>
                          <w:rPr>
                            <w:rFonts w:ascii="Cambria Math" w:hAnsi="Cambria Math" w:cs="Times New Roman"/>
                            <w:sz w:val="24"/>
                            <w:szCs w:val="24"/>
                          </w:rPr>
                          <m:t>n</m:t>
                        </m:r>
                      </m:sup>
                      <m:e>
                        <m:f>
                          <m:fPr>
                            <m:ctrlPr>
                              <w:rPr>
                                <w:rFonts w:ascii="Cambria Math" w:hAnsi="Cambria Math" w:cs="Times New Roman"/>
                                <w:sz w:val="24"/>
                                <w:szCs w:val="24"/>
                              </w:rPr>
                            </m:ctrlPr>
                          </m:fPr>
                          <m:num>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P</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r>
                                      <m:rPr>
                                        <m:sty m:val="p"/>
                                      </m:rPr>
                                      <w:rPr>
                                        <w:rFonts w:ascii="Cambria Math" w:hAnsi="Cambria Math" w:cs="Times New Roman"/>
                                        <w:sz w:val="24"/>
                                        <w:szCs w:val="24"/>
                                      </w:rPr>
                                      <m:t>-</m:t>
                                    </m:r>
                                    <m:r>
                                      <w:rPr>
                                        <w:rFonts w:ascii="Cambria Math" w:hAnsi="Cambria Math" w:cs="Times New Roman"/>
                                        <w:sz w:val="24"/>
                                        <w:szCs w:val="24"/>
                                      </w:rPr>
                                      <m:t>M</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e>
                                </m:d>
                              </m:e>
                              <m:sup>
                                <m:r>
                                  <m:rPr>
                                    <m:sty m:val="p"/>
                                  </m:rPr>
                                  <w:rPr>
                                    <w:rFonts w:ascii="Cambria Math" w:hAnsi="Cambria Math" w:cs="Times New Roman"/>
                                    <w:sz w:val="24"/>
                                    <w:szCs w:val="24"/>
                                  </w:rPr>
                                  <m:t>2</m:t>
                                </m:r>
                              </m:sup>
                            </m:sSup>
                          </m:num>
                          <m:den>
                            <m:r>
                              <w:rPr>
                                <w:rFonts w:ascii="Cambria Math" w:hAnsi="Cambria Math" w:cs="Times New Roman"/>
                                <w:sz w:val="24"/>
                                <w:szCs w:val="24"/>
                              </w:rPr>
                              <m:t>n</m:t>
                            </m:r>
                          </m:den>
                        </m:f>
                      </m:e>
                    </m:nary>
                  </m:e>
                </m:rad>
              </m:oMath>
            </m:oMathPara>
          </w:p>
        </w:tc>
        <w:tc>
          <w:tcPr>
            <w:tcW w:w="561" w:type="dxa"/>
            <w:vAlign w:val="center"/>
          </w:tcPr>
          <w:p w:rsidR="00CF0314" w:rsidRPr="00686018" w:rsidRDefault="00CF0314" w:rsidP="00A31608">
            <w:pPr>
              <w:keepNext/>
              <w:tabs>
                <w:tab w:val="left" w:pos="1005"/>
              </w:tabs>
              <w:jc w:val="both"/>
              <w:rPr>
                <w:rFonts w:ascii="Times New Roman" w:hAnsi="Times New Roman" w:cs="Times New Roman"/>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14</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CF0314" w:rsidRPr="00686018" w:rsidRDefault="00CF0314" w:rsidP="00A31608">
      <w:pPr>
        <w:jc w:val="both"/>
        <w:rPr>
          <w:rFonts w:ascii="Times New Roman" w:hAnsi="Times New Roman" w:cs="Times New Roman"/>
          <w:sz w:val="24"/>
          <w:szCs w:val="24"/>
        </w:rPr>
      </w:pPr>
    </w:p>
    <w:p w:rsidR="00C41169" w:rsidRPr="00686018" w:rsidRDefault="00C41169" w:rsidP="00A31608">
      <w:pPr>
        <w:jc w:val="both"/>
        <w:rPr>
          <w:rFonts w:ascii="Times New Roman" w:hAnsi="Times New Roman" w:cs="Times New Roman"/>
          <w:i/>
          <w:sz w:val="24"/>
          <w:szCs w:val="24"/>
        </w:rPr>
      </w:pPr>
      <w:r w:rsidRPr="00686018">
        <w:rPr>
          <w:rFonts w:ascii="Times New Roman" w:hAnsi="Times New Roman" w:cs="Times New Roman"/>
          <w:i/>
          <w:sz w:val="24"/>
          <w:szCs w:val="24"/>
        </w:rPr>
        <w:t>Coeficiente de determinación</w:t>
      </w:r>
      <w:r w:rsidR="00CF0314" w:rsidRPr="00686018">
        <w:rPr>
          <w:rFonts w:ascii="Times New Roman" w:hAnsi="Times New Roman" w:cs="Times New Roman"/>
          <w:i/>
          <w:sz w:val="24"/>
          <w:szCs w:val="24"/>
        </w:rPr>
        <w:t xml:space="preserve"> (R</w:t>
      </w:r>
      <w:r w:rsidR="00CF0314" w:rsidRPr="00686018">
        <w:rPr>
          <w:rFonts w:ascii="Times New Roman" w:hAnsi="Times New Roman" w:cs="Times New Roman"/>
          <w:i/>
          <w:sz w:val="24"/>
          <w:szCs w:val="24"/>
          <w:vertAlign w:val="superscript"/>
        </w:rPr>
        <w:t>2</w:t>
      </w:r>
      <w:r w:rsidR="00CF0314" w:rsidRPr="00686018">
        <w:rPr>
          <w:rFonts w:ascii="Times New Roman" w:hAnsi="Times New Roman" w:cs="Times New Roman"/>
          <w:i/>
          <w:sz w:val="24"/>
          <w:szCs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1"/>
        <w:gridCol w:w="616"/>
      </w:tblGrid>
      <w:tr w:rsidR="00CF0314" w:rsidRPr="00686018" w:rsidTr="00304BAA">
        <w:tc>
          <w:tcPr>
            <w:tcW w:w="7933" w:type="dxa"/>
            <w:vAlign w:val="center"/>
          </w:tcPr>
          <w:p w:rsidR="00CF0314" w:rsidRPr="00686018" w:rsidRDefault="000B7990" w:rsidP="00A31608">
            <w:pPr>
              <w:jc w:val="both"/>
              <w:rPr>
                <w:rFonts w:ascii="Times New Roman" w:hAnsi="Times New Roman" w:cs="Times New Roman"/>
                <w:sz w:val="24"/>
                <w:szCs w:val="24"/>
              </w:rPr>
            </w:pPr>
            <m:oMathPara>
              <m:oMathParaPr>
                <m:jc m:val="left"/>
              </m:oMathParaPr>
              <m:oMath>
                <m:sSup>
                  <m:sSupPr>
                    <m:ctrlPr>
                      <w:rPr>
                        <w:rFonts w:ascii="Cambria Math" w:hAnsi="Cambria Math" w:cs="Times New Roman"/>
                        <w:sz w:val="24"/>
                        <w:szCs w:val="24"/>
                      </w:rPr>
                    </m:ctrlPr>
                  </m:sSupPr>
                  <m:e>
                    <m:r>
                      <w:rPr>
                        <w:rFonts w:ascii="Cambria Math" w:hAnsi="Cambria Math" w:cs="Times New Roman"/>
                        <w:sz w:val="24"/>
                        <w:szCs w:val="24"/>
                      </w:rPr>
                      <m:t>R</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sz w:val="24"/>
                            <w:szCs w:val="24"/>
                          </w:rPr>
                        </m:ctrlPr>
                      </m:naryPr>
                      <m:sub/>
                      <m:sup/>
                      <m:e>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P</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r>
                                  <m:rPr>
                                    <m:sty m:val="p"/>
                                  </m:rPr>
                                  <w:rPr>
                                    <w:rFonts w:ascii="Cambria Math" w:hAnsi="Cambria Math" w:cs="Times New Roman"/>
                                    <w:sz w:val="24"/>
                                    <w:szCs w:val="24"/>
                                  </w:rPr>
                                  <m:t>-</m:t>
                                </m:r>
                                <m:r>
                                  <w:rPr>
                                    <w:rFonts w:ascii="Cambria Math" w:hAnsi="Cambria Math" w:cs="Times New Roman"/>
                                    <w:sz w:val="24"/>
                                    <w:szCs w:val="24"/>
                                  </w:rPr>
                                  <m:t>M</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e>
                            </m:d>
                          </m:e>
                          <m:sup>
                            <m:r>
                              <m:rPr>
                                <m:sty m:val="p"/>
                              </m:rPr>
                              <w:rPr>
                                <w:rFonts w:ascii="Cambria Math" w:hAnsi="Cambria Math" w:cs="Times New Roman"/>
                                <w:sz w:val="24"/>
                                <w:szCs w:val="24"/>
                              </w:rPr>
                              <m:t>2</m:t>
                            </m:r>
                          </m:sup>
                        </m:sSup>
                      </m:e>
                    </m:nary>
                  </m:num>
                  <m:den>
                    <m:nary>
                      <m:naryPr>
                        <m:chr m:val="∑"/>
                        <m:limLoc m:val="undOvr"/>
                        <m:subHide m:val="1"/>
                        <m:supHide m:val="1"/>
                        <m:ctrlPr>
                          <w:rPr>
                            <w:rFonts w:ascii="Cambria Math" w:hAnsi="Cambria Math" w:cs="Times New Roman"/>
                            <w:sz w:val="24"/>
                            <w:szCs w:val="24"/>
                          </w:rPr>
                        </m:ctrlPr>
                      </m:naryPr>
                      <m:sub/>
                      <m:sup/>
                      <m:e>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P</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r>
                                  <m:rPr>
                                    <m:sty m:val="p"/>
                                  </m:rPr>
                                  <w:rPr>
                                    <w:rFonts w:ascii="Cambria Math" w:hAnsi="Cambria Math" w:cs="Times New Roman"/>
                                    <w:sz w:val="24"/>
                                    <w:szCs w:val="24"/>
                                  </w:rPr>
                                  <m:t>-</m:t>
                                </m:r>
                                <m:acc>
                                  <m:accPr>
                                    <m:chr m:val="̅"/>
                                    <m:ctrlPr>
                                      <w:rPr>
                                        <w:rFonts w:ascii="Cambria Math" w:hAnsi="Cambria Math" w:cs="Times New Roman"/>
                                        <w:sz w:val="24"/>
                                        <w:szCs w:val="24"/>
                                      </w:rPr>
                                    </m:ctrlPr>
                                  </m:accPr>
                                  <m:e>
                                    <m:r>
                                      <w:rPr>
                                        <w:rFonts w:ascii="Cambria Math" w:hAnsi="Cambria Math" w:cs="Times New Roman"/>
                                        <w:sz w:val="24"/>
                                        <w:szCs w:val="24"/>
                                      </w:rPr>
                                      <m:t>M</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e>
                                </m:acc>
                              </m:e>
                            </m:d>
                          </m:e>
                          <m:sup>
                            <m:r>
                              <m:rPr>
                                <m:sty m:val="p"/>
                              </m:rPr>
                              <w:rPr>
                                <w:rFonts w:ascii="Cambria Math" w:hAnsi="Cambria Math" w:cs="Times New Roman"/>
                                <w:sz w:val="24"/>
                                <w:szCs w:val="24"/>
                              </w:rPr>
                              <m:t>2</m:t>
                            </m:r>
                          </m:sup>
                        </m:sSup>
                      </m:e>
                    </m:nary>
                  </m:den>
                </m:f>
              </m:oMath>
            </m:oMathPara>
          </w:p>
        </w:tc>
        <w:tc>
          <w:tcPr>
            <w:tcW w:w="561" w:type="dxa"/>
            <w:vAlign w:val="center"/>
          </w:tcPr>
          <w:p w:rsidR="00CF0314" w:rsidRPr="00686018" w:rsidRDefault="00CF0314" w:rsidP="00A31608">
            <w:pPr>
              <w:keepNext/>
              <w:tabs>
                <w:tab w:val="left" w:pos="1005"/>
              </w:tabs>
              <w:jc w:val="both"/>
              <w:rPr>
                <w:rFonts w:ascii="Times New Roman" w:hAnsi="Times New Roman" w:cs="Times New Roman"/>
                <w:b/>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15</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CF0314" w:rsidRPr="00686018" w:rsidRDefault="00CF0314" w:rsidP="00A31608">
      <w:pPr>
        <w:jc w:val="both"/>
        <w:rPr>
          <w:rFonts w:ascii="Times New Roman" w:hAnsi="Times New Roman" w:cs="Times New Roman"/>
          <w:sz w:val="24"/>
          <w:szCs w:val="24"/>
        </w:rPr>
      </w:pPr>
    </w:p>
    <w:p w:rsidR="00C41169" w:rsidRPr="00686018" w:rsidRDefault="00CF0314" w:rsidP="00A31608">
      <w:pPr>
        <w:jc w:val="both"/>
        <w:rPr>
          <w:rFonts w:ascii="Times New Roman" w:hAnsi="Times New Roman" w:cs="Times New Roman"/>
          <w:i/>
          <w:sz w:val="24"/>
          <w:szCs w:val="24"/>
        </w:rPr>
      </w:pPr>
      <w:r w:rsidRPr="00686018">
        <w:rPr>
          <w:rFonts w:ascii="Times New Roman" w:hAnsi="Times New Roman" w:cs="Times New Roman"/>
          <w:i/>
          <w:sz w:val="24"/>
          <w:szCs w:val="24"/>
        </w:rPr>
        <w:t xml:space="preserve">Porcentaje de Desviación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1"/>
        <w:gridCol w:w="616"/>
      </w:tblGrid>
      <w:tr w:rsidR="00CF0314" w:rsidRPr="00686018" w:rsidTr="00304BAA">
        <w:tc>
          <w:tcPr>
            <w:tcW w:w="7933" w:type="dxa"/>
            <w:vAlign w:val="center"/>
          </w:tcPr>
          <w:p w:rsidR="00CF0314" w:rsidRPr="00686018" w:rsidRDefault="00686018" w:rsidP="00A31608">
            <w:pPr>
              <w:jc w:val="both"/>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 xml:space="preserve">% </m:t>
                </m:r>
                <m:r>
                  <w:rPr>
                    <w:rFonts w:ascii="Cambria Math" w:hAnsi="Cambria Math" w:cs="Times New Roman"/>
                    <w:sz w:val="24"/>
                    <w:szCs w:val="24"/>
                  </w:rPr>
                  <m:t>Desviacion</m:t>
                </m:r>
                <m:r>
                  <m:rPr>
                    <m:sty m:val="p"/>
                  </m:rPr>
                  <w:rPr>
                    <w:rFonts w:ascii="Cambria Math" w:hAnsi="Cambria Math" w:cs="Times New Roman"/>
                    <w:sz w:val="24"/>
                    <w:szCs w:val="24"/>
                  </w:rPr>
                  <m:t>=</m:t>
                </m:r>
                <m:f>
                  <m:fPr>
                    <m:ctrlPr>
                      <w:rPr>
                        <w:rFonts w:ascii="Cambria Math" w:hAnsi="Cambria Math" w:cs="Times New Roman"/>
                        <w:sz w:val="24"/>
                        <w:szCs w:val="24"/>
                      </w:rPr>
                    </m:ctrlPr>
                  </m:fPr>
                  <m:num>
                    <m:d>
                      <m:dPr>
                        <m:ctrlPr>
                          <w:rPr>
                            <w:rFonts w:ascii="Cambria Math" w:hAnsi="Cambria Math" w:cs="Times New Roman"/>
                            <w:sz w:val="24"/>
                            <w:szCs w:val="24"/>
                          </w:rPr>
                        </m:ctrlPr>
                      </m:dPr>
                      <m:e>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M</m:t>
                        </m:r>
                      </m:e>
                    </m:d>
                  </m:num>
                  <m:den>
                    <m:r>
                      <w:rPr>
                        <w:rFonts w:ascii="Cambria Math" w:hAnsi="Cambria Math" w:cs="Times New Roman"/>
                        <w:sz w:val="24"/>
                        <w:szCs w:val="24"/>
                      </w:rPr>
                      <m:t>P</m:t>
                    </m:r>
                  </m:den>
                </m:f>
                <m:r>
                  <m:rPr>
                    <m:sty m:val="p"/>
                  </m:rPr>
                  <w:rPr>
                    <w:rFonts w:ascii="Cambria Math" w:eastAsiaTheme="minorEastAsia" w:hAnsi="Cambria Math" w:cs="Times New Roman"/>
                    <w:sz w:val="24"/>
                    <w:szCs w:val="24"/>
                  </w:rPr>
                  <m:t xml:space="preserve"> </m:t>
                </m:r>
                <m:r>
                  <w:rPr>
                    <w:rFonts w:ascii="Cambria Math" w:eastAsiaTheme="minorEastAsia" w:hAnsi="Cambria Math" w:cs="Times New Roman"/>
                    <w:sz w:val="24"/>
                    <w:szCs w:val="24"/>
                  </w:rPr>
                  <m:t>x</m:t>
                </m:r>
                <m:r>
                  <m:rPr>
                    <m:sty m:val="p"/>
                  </m:rPr>
                  <w:rPr>
                    <w:rFonts w:ascii="Cambria Math" w:eastAsiaTheme="minorEastAsia" w:hAnsi="Cambria Math" w:cs="Times New Roman"/>
                    <w:sz w:val="24"/>
                    <w:szCs w:val="24"/>
                  </w:rPr>
                  <m:t xml:space="preserve"> 100</m:t>
                </m:r>
              </m:oMath>
            </m:oMathPara>
          </w:p>
        </w:tc>
        <w:tc>
          <w:tcPr>
            <w:tcW w:w="561" w:type="dxa"/>
            <w:vAlign w:val="center"/>
          </w:tcPr>
          <w:p w:rsidR="00CF0314" w:rsidRPr="00686018" w:rsidRDefault="00B436B6" w:rsidP="00A31608">
            <w:pPr>
              <w:keepNext/>
              <w:tabs>
                <w:tab w:val="left" w:pos="1005"/>
              </w:tabs>
              <w:jc w:val="both"/>
              <w:rPr>
                <w:rFonts w:ascii="Times New Roman" w:hAnsi="Times New Roman" w:cs="Times New Roman"/>
                <w:b/>
                <w:sz w:val="24"/>
                <w:szCs w:val="24"/>
              </w:rPr>
            </w:pPr>
            <w:r w:rsidRPr="00686018">
              <w:rPr>
                <w:rFonts w:ascii="Times New Roman" w:hAnsi="Times New Roman" w:cs="Times New Roman"/>
                <w:b/>
                <w:sz w:val="24"/>
                <w:szCs w:val="24"/>
              </w:rPr>
              <w:t>(</w:t>
            </w:r>
            <w:r w:rsidR="00CF0314" w:rsidRPr="00686018">
              <w:rPr>
                <w:rFonts w:ascii="Times New Roman" w:hAnsi="Times New Roman" w:cs="Times New Roman"/>
                <w:b/>
                <w:sz w:val="24"/>
                <w:szCs w:val="24"/>
              </w:rPr>
              <w:fldChar w:fldCharType="begin"/>
            </w:r>
            <w:r w:rsidR="00CF0314" w:rsidRPr="00686018">
              <w:rPr>
                <w:rFonts w:ascii="Times New Roman" w:hAnsi="Times New Roman" w:cs="Times New Roman"/>
                <w:b/>
                <w:sz w:val="24"/>
                <w:szCs w:val="24"/>
              </w:rPr>
              <w:instrText xml:space="preserve"> SEQ ( \* ARABIC </w:instrText>
            </w:r>
            <w:r w:rsidR="00CF0314"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16</w:t>
            </w:r>
            <w:r w:rsidR="00CF0314" w:rsidRPr="00686018">
              <w:rPr>
                <w:rFonts w:ascii="Times New Roman" w:hAnsi="Times New Roman" w:cs="Times New Roman"/>
                <w:b/>
                <w:sz w:val="24"/>
                <w:szCs w:val="24"/>
              </w:rPr>
              <w:fldChar w:fldCharType="end"/>
            </w:r>
            <w:r w:rsidR="00CF0314" w:rsidRPr="00686018">
              <w:rPr>
                <w:rFonts w:ascii="Times New Roman" w:hAnsi="Times New Roman" w:cs="Times New Roman"/>
                <w:b/>
                <w:sz w:val="24"/>
                <w:szCs w:val="24"/>
              </w:rPr>
              <w:t>)</w:t>
            </w:r>
          </w:p>
        </w:tc>
      </w:tr>
    </w:tbl>
    <w:p w:rsidR="00C41169" w:rsidRPr="00686018" w:rsidRDefault="00C41169" w:rsidP="00A31608">
      <w:pPr>
        <w:jc w:val="both"/>
        <w:rPr>
          <w:rFonts w:ascii="Times New Roman" w:hAnsi="Times New Roman" w:cs="Times New Roman"/>
          <w:sz w:val="24"/>
          <w:szCs w:val="24"/>
        </w:rPr>
      </w:pPr>
    </w:p>
    <w:p w:rsidR="00B436B6" w:rsidRPr="00686018" w:rsidRDefault="00B436B6" w:rsidP="00A31608">
      <w:pPr>
        <w:jc w:val="both"/>
        <w:rPr>
          <w:rFonts w:ascii="Times New Roman" w:hAnsi="Times New Roman" w:cs="Times New Roman"/>
          <w:sz w:val="24"/>
          <w:szCs w:val="24"/>
        </w:rPr>
      </w:pPr>
      <w:r w:rsidRPr="00686018">
        <w:rPr>
          <w:rFonts w:ascii="Times New Roman" w:hAnsi="Times New Roman" w:cs="Times New Roman"/>
          <w:sz w:val="24"/>
          <w:szCs w:val="24"/>
        </w:rPr>
        <w:t>En las ecuaciones (14)-(16), Pv</w:t>
      </w:r>
      <w:r w:rsidRPr="00686018">
        <w:rPr>
          <w:rFonts w:ascii="Times New Roman" w:hAnsi="Times New Roman" w:cs="Times New Roman"/>
          <w:sz w:val="24"/>
          <w:szCs w:val="24"/>
          <w:vertAlign w:val="subscript"/>
        </w:rPr>
        <w:t>i</w:t>
      </w:r>
      <w:r w:rsidRPr="00686018">
        <w:rPr>
          <w:rFonts w:ascii="Times New Roman" w:hAnsi="Times New Roman" w:cs="Times New Roman"/>
          <w:sz w:val="24"/>
          <w:szCs w:val="24"/>
        </w:rPr>
        <w:t>, Mv</w:t>
      </w:r>
      <w:r w:rsidRPr="00686018">
        <w:rPr>
          <w:rFonts w:ascii="Times New Roman" w:hAnsi="Times New Roman" w:cs="Times New Roman"/>
          <w:sz w:val="24"/>
          <w:szCs w:val="24"/>
          <w:vertAlign w:val="subscript"/>
        </w:rPr>
        <w:t>i</w:t>
      </w:r>
      <w:r w:rsidRPr="00686018">
        <w:rPr>
          <w:rFonts w:ascii="Times New Roman" w:hAnsi="Times New Roman" w:cs="Times New Roman"/>
          <w:sz w:val="24"/>
          <w:szCs w:val="24"/>
        </w:rPr>
        <w:t xml:space="preserve">, </w:t>
      </w:r>
      <m:oMath>
        <m:acc>
          <m:accPr>
            <m:chr m:val="̅"/>
            <m:ctrlPr>
              <w:rPr>
                <w:rFonts w:ascii="Cambria Math" w:hAnsi="Cambria Math" w:cs="Times New Roman"/>
                <w:sz w:val="24"/>
                <w:szCs w:val="24"/>
              </w:rPr>
            </m:ctrlPr>
          </m:accPr>
          <m:e>
            <m:r>
              <w:rPr>
                <w:rFonts w:ascii="Cambria Math" w:hAnsi="Cambria Math" w:cs="Times New Roman"/>
                <w:sz w:val="24"/>
                <w:szCs w:val="24"/>
              </w:rPr>
              <m:t>M</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e>
        </m:acc>
      </m:oMath>
      <w:r w:rsidRPr="00686018">
        <w:rPr>
          <w:rFonts w:ascii="Times New Roman" w:eastAsiaTheme="minorEastAsia" w:hAnsi="Times New Roman" w:cs="Times New Roman"/>
          <w:sz w:val="24"/>
          <w:szCs w:val="24"/>
        </w:rPr>
        <w:t xml:space="preserve"> son el rendimiento de metano estimado, medido y rendimiento de metano medio promedio respectivamente. P y M son el rendimiento estimado y medido de metano acumulado promedio y n es el número de observaciones.</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206" w:name="_Toc9537833"/>
      <w:r w:rsidRPr="00686018">
        <w:rPr>
          <w:rFonts w:ascii="Times New Roman" w:hAnsi="Times New Roman" w:cs="Times New Roman"/>
          <w:i w:val="0"/>
        </w:rPr>
        <w:t>Presión del biogás</w:t>
      </w:r>
      <w:bookmarkEnd w:id="206"/>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Para medir la presión diariamente (</w:t>
      </w:r>
      <w:r w:rsidRPr="00686018">
        <w:rPr>
          <w:rFonts w:ascii="Times New Roman" w:hAnsi="Times New Roman" w:cs="Times New Roman"/>
          <w:b/>
          <w:sz w:val="24"/>
          <w:szCs w:val="24"/>
        </w:rPr>
        <w:t>figura</w:t>
      </w:r>
      <w:r w:rsidR="006E31EF">
        <w:rPr>
          <w:rFonts w:ascii="Times New Roman" w:hAnsi="Times New Roman" w:cs="Times New Roman"/>
          <w:b/>
          <w:sz w:val="24"/>
          <w:szCs w:val="24"/>
        </w:rPr>
        <w:t xml:space="preserve"> 15</w:t>
      </w:r>
      <w:r w:rsidRPr="00686018">
        <w:rPr>
          <w:rFonts w:ascii="Times New Roman" w:hAnsi="Times New Roman" w:cs="Times New Roman"/>
          <w:sz w:val="24"/>
          <w:szCs w:val="24"/>
        </w:rPr>
        <w:t>), se utiliz</w:t>
      </w:r>
      <w:r w:rsidR="00554050" w:rsidRPr="00686018">
        <w:rPr>
          <w:rFonts w:ascii="Times New Roman" w:hAnsi="Times New Roman" w:cs="Times New Roman"/>
          <w:sz w:val="24"/>
          <w:szCs w:val="24"/>
        </w:rPr>
        <w:t>ó</w:t>
      </w:r>
      <w:r w:rsidRPr="00686018">
        <w:rPr>
          <w:rFonts w:ascii="Times New Roman" w:hAnsi="Times New Roman" w:cs="Times New Roman"/>
          <w:sz w:val="24"/>
          <w:szCs w:val="24"/>
        </w:rPr>
        <w:t xml:space="preserve"> un sensor de presión Delta TP 704 de 1 bar, conectado a un medidor de presión Delta OHM HD 2124.2. El sensor de presión est</w:t>
      </w:r>
      <w:r w:rsidR="00554050" w:rsidRPr="00686018">
        <w:rPr>
          <w:rFonts w:ascii="Times New Roman" w:hAnsi="Times New Roman" w:cs="Times New Roman"/>
          <w:sz w:val="24"/>
          <w:szCs w:val="24"/>
        </w:rPr>
        <w:t>uvo</w:t>
      </w:r>
      <w:r w:rsidRPr="00686018">
        <w:rPr>
          <w:rFonts w:ascii="Times New Roman" w:hAnsi="Times New Roman" w:cs="Times New Roman"/>
          <w:sz w:val="24"/>
          <w:szCs w:val="24"/>
        </w:rPr>
        <w:t xml:space="preserve"> interconectado directamente al digestor al momento de realizar la medición de presión.</w:t>
      </w:r>
    </w:p>
    <w:p w:rsidR="00DF46F4" w:rsidRPr="00686018" w:rsidRDefault="00DF46F4" w:rsidP="00B46DDC">
      <w:pPr>
        <w:jc w:val="center"/>
        <w:rPr>
          <w:rFonts w:ascii="Times New Roman" w:hAnsi="Times New Roman" w:cs="Times New Roman"/>
        </w:rPr>
      </w:pPr>
      <w:r w:rsidRPr="00686018">
        <w:rPr>
          <w:rFonts w:ascii="Times New Roman" w:hAnsi="Times New Roman" w:cs="Times New Roman"/>
        </w:rPr>
        <w:object w:dxaOrig="15240" w:dyaOrig="7890">
          <v:shape id="_x0000_i1027" type="#_x0000_t75" style="width:3in;height:281.25pt" o:ole="">
            <v:imagedata r:id="rId36" o:title="" croptop="6979f" cropbottom="14777f" cropleft="31971f" cropright="15847f"/>
          </v:shape>
          <o:OLEObject Type="Embed" ProgID="AutoCAD.Drawing.20" ShapeID="_x0000_i1027" DrawAspect="Content" ObjectID="_1620393449" r:id="rId37"/>
        </w:object>
      </w:r>
    </w:p>
    <w:p w:rsidR="00DF46F4" w:rsidRPr="00686018" w:rsidRDefault="00B639AA" w:rsidP="00B46DDC">
      <w:pPr>
        <w:pStyle w:val="Descripcin"/>
        <w:jc w:val="center"/>
        <w:rPr>
          <w:rFonts w:ascii="Times New Roman" w:hAnsi="Times New Roman" w:cs="Times New Roman"/>
          <w:b/>
          <w:i w:val="0"/>
          <w:color w:val="auto"/>
        </w:rPr>
      </w:pPr>
      <w:bookmarkStart w:id="207" w:name="_Toc9537883"/>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15</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i w:val="0"/>
          <w:color w:val="auto"/>
        </w:rPr>
        <w:t>Lectura de presión en el volumen libre del digestor anaerobio. 1: Digestor anaerobio, 2: Válvula de tres pasos, 3: sonda de presión de 1Bar, 4: Transductor de presión.</w:t>
      </w:r>
      <w:bookmarkEnd w:id="207"/>
    </w:p>
    <w:p w:rsidR="00DF46F4" w:rsidRPr="00686018" w:rsidRDefault="00DF46F4" w:rsidP="00B46DDC">
      <w:pPr>
        <w:jc w:val="center"/>
        <w:rPr>
          <w:rFonts w:ascii="Times New Roman" w:hAnsi="Times New Roman" w:cs="Times New Roman"/>
          <w:sz w:val="18"/>
          <w:szCs w:val="18"/>
        </w:rPr>
      </w:pPr>
      <w:r w:rsidRPr="00686018">
        <w:rPr>
          <w:rFonts w:ascii="Times New Roman" w:hAnsi="Times New Roman" w:cs="Times New Roman"/>
          <w:b/>
          <w:sz w:val="18"/>
          <w:szCs w:val="18"/>
        </w:rPr>
        <w:t>Fuente:</w:t>
      </w:r>
      <w:r w:rsidRPr="00686018">
        <w:rPr>
          <w:rFonts w:ascii="Times New Roman" w:hAnsi="Times New Roman" w:cs="Times New Roman"/>
          <w:sz w:val="18"/>
          <w:szCs w:val="18"/>
        </w:rPr>
        <w:t xml:space="preserve"> </w:t>
      </w:r>
      <w:r w:rsidR="006D64AB" w:rsidRPr="00686018">
        <w:rPr>
          <w:rFonts w:ascii="Times New Roman" w:hAnsi="Times New Roman" w:cs="Times New Roman"/>
          <w:sz w:val="18"/>
          <w:szCs w:val="18"/>
        </w:rPr>
        <w:t>Elaborado por los autores, 2019.</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208" w:name="_Toc9537834"/>
      <w:r w:rsidRPr="00686018">
        <w:rPr>
          <w:rFonts w:ascii="Times New Roman" w:hAnsi="Times New Roman" w:cs="Times New Roman"/>
          <w:i w:val="0"/>
        </w:rPr>
        <w:t>Liberación del biogás</w:t>
      </w:r>
      <w:bookmarkEnd w:id="208"/>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El biogás ocupado por el volumen libre </w:t>
      </w:r>
      <w:r w:rsidR="00554050" w:rsidRPr="00686018">
        <w:rPr>
          <w:rFonts w:ascii="Times New Roman" w:hAnsi="Times New Roman" w:cs="Times New Roman"/>
          <w:sz w:val="24"/>
        </w:rPr>
        <w:t xml:space="preserve">fue </w:t>
      </w:r>
      <w:r w:rsidRPr="00686018">
        <w:rPr>
          <w:rFonts w:ascii="Times New Roman" w:hAnsi="Times New Roman" w:cs="Times New Roman"/>
          <w:sz w:val="24"/>
        </w:rPr>
        <w:t>liberado diariamente mediante la extracción con una jeringa graduada de 200</w:t>
      </w:r>
      <w:r w:rsidR="00DD14D0">
        <w:rPr>
          <w:rFonts w:ascii="Times New Roman" w:hAnsi="Times New Roman" w:cs="Times New Roman"/>
          <w:sz w:val="24"/>
        </w:rPr>
        <w:t>mL</w:t>
      </w:r>
      <w:r w:rsidRPr="00686018">
        <w:rPr>
          <w:rFonts w:ascii="Times New Roman" w:hAnsi="Times New Roman" w:cs="Times New Roman"/>
          <w:sz w:val="24"/>
        </w:rPr>
        <w:t xml:space="preserve"> (</w:t>
      </w:r>
      <w:r w:rsidRPr="00686018">
        <w:rPr>
          <w:rFonts w:ascii="Times New Roman" w:hAnsi="Times New Roman" w:cs="Times New Roman"/>
          <w:b/>
          <w:sz w:val="24"/>
        </w:rPr>
        <w:t>figura</w:t>
      </w:r>
      <w:r w:rsidR="006E31EF">
        <w:rPr>
          <w:rFonts w:ascii="Times New Roman" w:hAnsi="Times New Roman" w:cs="Times New Roman"/>
          <w:b/>
          <w:sz w:val="24"/>
        </w:rPr>
        <w:t xml:space="preserve"> 16</w:t>
      </w:r>
      <w:r w:rsidRPr="00686018">
        <w:rPr>
          <w:rFonts w:ascii="Times New Roman" w:hAnsi="Times New Roman" w:cs="Times New Roman"/>
          <w:sz w:val="24"/>
        </w:rPr>
        <w:t>). La liberación del biogás ces</w:t>
      </w:r>
      <w:r w:rsidR="00554050" w:rsidRPr="00686018">
        <w:rPr>
          <w:rFonts w:ascii="Times New Roman" w:hAnsi="Times New Roman" w:cs="Times New Roman"/>
          <w:sz w:val="24"/>
        </w:rPr>
        <w:t>o</w:t>
      </w:r>
      <w:r w:rsidRPr="00686018">
        <w:rPr>
          <w:rFonts w:ascii="Times New Roman" w:hAnsi="Times New Roman" w:cs="Times New Roman"/>
          <w:sz w:val="24"/>
        </w:rPr>
        <w:t xml:space="preserve"> al momento en que la presión en el volumen libre </w:t>
      </w:r>
      <w:r w:rsidR="00554050" w:rsidRPr="00686018">
        <w:rPr>
          <w:rFonts w:ascii="Times New Roman" w:hAnsi="Times New Roman" w:cs="Times New Roman"/>
          <w:sz w:val="24"/>
        </w:rPr>
        <w:t xml:space="preserve">era </w:t>
      </w:r>
      <w:r w:rsidR="009D2E50" w:rsidRPr="00686018">
        <w:rPr>
          <w:rFonts w:ascii="Times New Roman" w:hAnsi="Times New Roman" w:cs="Times New Roman"/>
          <w:sz w:val="24"/>
        </w:rPr>
        <w:t>cercana</w:t>
      </w:r>
      <w:r w:rsidR="00554050" w:rsidRPr="00686018">
        <w:rPr>
          <w:rFonts w:ascii="Times New Roman" w:hAnsi="Times New Roman" w:cs="Times New Roman"/>
          <w:sz w:val="24"/>
        </w:rPr>
        <w:t xml:space="preserve"> a la presión atmosférica</w:t>
      </w:r>
      <w:r w:rsidRPr="00686018">
        <w:rPr>
          <w:rFonts w:ascii="Times New Roman" w:hAnsi="Times New Roman" w:cs="Times New Roman"/>
          <w:sz w:val="24"/>
        </w:rPr>
        <w:t>. En cuyo momento el experimento finaliz</w:t>
      </w:r>
      <w:r w:rsidR="00DD14D0">
        <w:rPr>
          <w:rFonts w:ascii="Times New Roman" w:hAnsi="Times New Roman" w:cs="Times New Roman"/>
          <w:sz w:val="24"/>
        </w:rPr>
        <w:t>ó</w:t>
      </w:r>
      <w:r w:rsidR="00554050" w:rsidRPr="00686018">
        <w:rPr>
          <w:rFonts w:ascii="Times New Roman" w:hAnsi="Times New Roman" w:cs="Times New Roman"/>
          <w:sz w:val="24"/>
        </w:rPr>
        <w:t>.</w:t>
      </w:r>
      <w:r w:rsidRPr="00686018">
        <w:rPr>
          <w:rFonts w:ascii="Times New Roman" w:hAnsi="Times New Roman" w:cs="Times New Roman"/>
          <w:sz w:val="24"/>
        </w:rPr>
        <w:t xml:space="preserve"> </w:t>
      </w:r>
    </w:p>
    <w:p w:rsidR="00DF46F4" w:rsidRPr="00686018" w:rsidRDefault="00DF46F4" w:rsidP="00B46DDC">
      <w:pPr>
        <w:jc w:val="center"/>
        <w:rPr>
          <w:rFonts w:ascii="Times New Roman" w:hAnsi="Times New Roman" w:cs="Times New Roman"/>
        </w:rPr>
      </w:pPr>
      <w:r w:rsidRPr="00686018">
        <w:rPr>
          <w:rFonts w:ascii="Times New Roman" w:hAnsi="Times New Roman" w:cs="Times New Roman"/>
        </w:rPr>
        <w:object w:dxaOrig="15240" w:dyaOrig="7890">
          <v:shape id="_x0000_i1028" type="#_x0000_t75" style="width:123pt;height:482.25pt" o:ole="">
            <v:imagedata r:id="rId38" o:title="" croptop="6964f" cropbottom="16462f" cropleft="37593f" cropright="22475f"/>
          </v:shape>
          <o:OLEObject Type="Embed" ProgID="AutoCAD.Drawing.20" ShapeID="_x0000_i1028" DrawAspect="Content" ObjectID="_1620393450" r:id="rId39"/>
        </w:object>
      </w:r>
    </w:p>
    <w:p w:rsidR="00DF46F4" w:rsidRPr="00686018" w:rsidRDefault="00B639AA" w:rsidP="00B46DDC">
      <w:pPr>
        <w:pStyle w:val="Descripcin"/>
        <w:jc w:val="center"/>
        <w:rPr>
          <w:rFonts w:ascii="Times New Roman" w:hAnsi="Times New Roman" w:cs="Times New Roman"/>
          <w:i w:val="0"/>
          <w:color w:val="auto"/>
        </w:rPr>
      </w:pPr>
      <w:bookmarkStart w:id="209" w:name="_Toc9537884"/>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16</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Liberación diaria de biogás</w:t>
      </w:r>
      <w:bookmarkEnd w:id="209"/>
    </w:p>
    <w:p w:rsidR="00DF46F4" w:rsidRPr="00686018" w:rsidRDefault="00DF46F4" w:rsidP="00B46DDC">
      <w:pPr>
        <w:jc w:val="center"/>
        <w:rPr>
          <w:rFonts w:ascii="Times New Roman" w:hAnsi="Times New Roman" w:cs="Times New Roman"/>
          <w:sz w:val="18"/>
          <w:szCs w:val="18"/>
        </w:rPr>
      </w:pPr>
      <w:r w:rsidRPr="00686018">
        <w:rPr>
          <w:rFonts w:ascii="Times New Roman" w:hAnsi="Times New Roman" w:cs="Times New Roman"/>
          <w:b/>
          <w:sz w:val="18"/>
          <w:szCs w:val="18"/>
        </w:rPr>
        <w:t>Fuente:</w:t>
      </w:r>
      <w:r w:rsidRPr="00686018">
        <w:rPr>
          <w:rFonts w:ascii="Times New Roman" w:hAnsi="Times New Roman" w:cs="Times New Roman"/>
          <w:sz w:val="18"/>
          <w:szCs w:val="18"/>
        </w:rPr>
        <w:t xml:space="preserve"> </w:t>
      </w:r>
      <w:r w:rsidR="006D64AB" w:rsidRPr="00686018">
        <w:rPr>
          <w:rFonts w:ascii="Times New Roman" w:hAnsi="Times New Roman" w:cs="Times New Roman"/>
          <w:sz w:val="18"/>
          <w:szCs w:val="18"/>
        </w:rPr>
        <w:t>Elaborado por los autores, 2019.</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210" w:name="_Toc9537835"/>
      <w:r w:rsidRPr="00686018">
        <w:rPr>
          <w:rFonts w:ascii="Times New Roman" w:hAnsi="Times New Roman" w:cs="Times New Roman"/>
          <w:i w:val="0"/>
        </w:rPr>
        <w:t>Composición del biogás</w:t>
      </w:r>
      <w:bookmarkEnd w:id="210"/>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Para conocer la composición diaria del biogás resultante, se emple</w:t>
      </w:r>
      <w:r w:rsidR="00554050" w:rsidRPr="00686018">
        <w:rPr>
          <w:rFonts w:ascii="Times New Roman" w:hAnsi="Times New Roman" w:cs="Times New Roman"/>
          <w:sz w:val="24"/>
          <w:szCs w:val="24"/>
        </w:rPr>
        <w:t>ó</w:t>
      </w:r>
      <w:r w:rsidRPr="00686018">
        <w:rPr>
          <w:rFonts w:ascii="Times New Roman" w:hAnsi="Times New Roman" w:cs="Times New Roman"/>
          <w:sz w:val="24"/>
          <w:szCs w:val="24"/>
        </w:rPr>
        <w:t xml:space="preserve"> Gas Analyser Safety Booklet (BIOGAS 5000) equipado con sondas de medición de CH</w:t>
      </w:r>
      <w:r w:rsidRPr="00686018">
        <w:rPr>
          <w:rFonts w:ascii="Times New Roman" w:hAnsi="Times New Roman" w:cs="Times New Roman"/>
          <w:sz w:val="24"/>
          <w:szCs w:val="24"/>
          <w:vertAlign w:val="subscript"/>
        </w:rPr>
        <w:t>4</w:t>
      </w:r>
      <w:r w:rsidRPr="00686018">
        <w:rPr>
          <w:rFonts w:ascii="Times New Roman" w:hAnsi="Times New Roman" w:cs="Times New Roman"/>
          <w:sz w:val="24"/>
          <w:szCs w:val="24"/>
        </w:rPr>
        <w:t>, CO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O</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 xml:space="preserve"> y H</w:t>
      </w:r>
      <w:r w:rsidRPr="00686018">
        <w:rPr>
          <w:rFonts w:ascii="Times New Roman" w:hAnsi="Times New Roman" w:cs="Times New Roman"/>
          <w:sz w:val="24"/>
          <w:szCs w:val="24"/>
          <w:vertAlign w:val="subscript"/>
        </w:rPr>
        <w:t>2</w:t>
      </w:r>
      <w:r w:rsidRPr="00686018">
        <w:rPr>
          <w:rFonts w:ascii="Times New Roman" w:hAnsi="Times New Roman" w:cs="Times New Roman"/>
          <w:sz w:val="24"/>
          <w:szCs w:val="24"/>
        </w:rPr>
        <w:t>S, mediante la transferencia del biogás a través de una jeringa graduada de 200</w:t>
      </w:r>
      <w:r w:rsidR="00DD14D0">
        <w:rPr>
          <w:rFonts w:ascii="Times New Roman" w:hAnsi="Times New Roman" w:cs="Times New Roman"/>
          <w:sz w:val="24"/>
          <w:szCs w:val="24"/>
        </w:rPr>
        <w:t>mL</w:t>
      </w:r>
      <w:r w:rsidRPr="00686018">
        <w:rPr>
          <w:rFonts w:ascii="Times New Roman" w:hAnsi="Times New Roman" w:cs="Times New Roman"/>
          <w:sz w:val="24"/>
          <w:szCs w:val="24"/>
        </w:rPr>
        <w:t xml:space="preserve">, como se muestra en la </w:t>
      </w:r>
      <w:r w:rsidRPr="00686018">
        <w:rPr>
          <w:rFonts w:ascii="Times New Roman" w:hAnsi="Times New Roman" w:cs="Times New Roman"/>
          <w:b/>
          <w:sz w:val="24"/>
          <w:szCs w:val="24"/>
        </w:rPr>
        <w:t>figura</w:t>
      </w:r>
      <w:r w:rsidR="006E31EF">
        <w:rPr>
          <w:rFonts w:ascii="Times New Roman" w:hAnsi="Times New Roman" w:cs="Times New Roman"/>
          <w:b/>
          <w:sz w:val="24"/>
          <w:szCs w:val="24"/>
        </w:rPr>
        <w:t xml:space="preserve"> 17</w:t>
      </w:r>
      <w:r w:rsidRPr="00686018">
        <w:rPr>
          <w:rFonts w:ascii="Times New Roman" w:hAnsi="Times New Roman" w:cs="Times New Roman"/>
          <w:sz w:val="24"/>
          <w:szCs w:val="24"/>
        </w:rPr>
        <w:t>.</w:t>
      </w:r>
    </w:p>
    <w:p w:rsidR="00DF46F4" w:rsidRPr="00686018" w:rsidRDefault="00A31608" w:rsidP="00B46DDC">
      <w:pPr>
        <w:jc w:val="center"/>
        <w:rPr>
          <w:rFonts w:ascii="Times New Roman" w:hAnsi="Times New Roman" w:cs="Times New Roman"/>
          <w:sz w:val="24"/>
          <w:szCs w:val="24"/>
        </w:rPr>
      </w:pPr>
      <w:r w:rsidRPr="00686018">
        <w:rPr>
          <w:rFonts w:ascii="Times New Roman" w:hAnsi="Times New Roman" w:cs="Times New Roman"/>
        </w:rPr>
        <w:object w:dxaOrig="15240" w:dyaOrig="7890">
          <v:shape id="_x0000_i1029" type="#_x0000_t75" style="width:204pt;height:492pt" o:ole="">
            <v:imagedata r:id="rId40" o:title="" croptop="7814f" cropbottom="23709f" cropleft="33272f" cropright="25779f"/>
          </v:shape>
          <o:OLEObject Type="Embed" ProgID="AutoCAD.Drawing.20" ShapeID="_x0000_i1029" DrawAspect="Content" ObjectID="_1620393451" r:id="rId41"/>
        </w:object>
      </w:r>
    </w:p>
    <w:p w:rsidR="00DF46F4" w:rsidRPr="00686018" w:rsidRDefault="00B639AA" w:rsidP="00B46DDC">
      <w:pPr>
        <w:pStyle w:val="Descripcin"/>
        <w:jc w:val="center"/>
        <w:rPr>
          <w:rFonts w:ascii="Times New Roman" w:hAnsi="Times New Roman" w:cs="Times New Roman"/>
          <w:i w:val="0"/>
          <w:color w:val="auto"/>
        </w:rPr>
      </w:pPr>
      <w:bookmarkStart w:id="211" w:name="_Toc9537885"/>
      <w:r>
        <w:rPr>
          <w:rFonts w:ascii="Times New Roman" w:hAnsi="Times New Roman" w:cs="Times New Roman"/>
          <w:b/>
          <w:i w:val="0"/>
          <w:color w:val="auto"/>
        </w:rPr>
        <w:t>Figura</w:t>
      </w:r>
      <w:r w:rsidR="00DF46F4" w:rsidRPr="00686018">
        <w:rPr>
          <w:rFonts w:ascii="Times New Roman" w:hAnsi="Times New Roman" w:cs="Times New Roman"/>
          <w:b/>
          <w:i w:val="0"/>
          <w:color w:val="auto"/>
        </w:rPr>
        <w:t xml:space="preserve"> </w:t>
      </w:r>
      <w:r w:rsidR="00DF46F4" w:rsidRPr="00686018">
        <w:rPr>
          <w:rFonts w:ascii="Times New Roman" w:hAnsi="Times New Roman" w:cs="Times New Roman"/>
          <w:b/>
          <w:i w:val="0"/>
          <w:color w:val="auto"/>
        </w:rPr>
        <w:fldChar w:fldCharType="begin"/>
      </w:r>
      <w:r w:rsidR="00DF46F4" w:rsidRPr="00686018">
        <w:rPr>
          <w:rFonts w:ascii="Times New Roman" w:hAnsi="Times New Roman" w:cs="Times New Roman"/>
          <w:b/>
          <w:i w:val="0"/>
          <w:color w:val="auto"/>
        </w:rPr>
        <w:instrText xml:space="preserve"> SEQ Figure \* ARABIC </w:instrText>
      </w:r>
      <w:r w:rsidR="00DF46F4"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17</w:t>
      </w:r>
      <w:r w:rsidR="00DF46F4" w:rsidRPr="00686018">
        <w:rPr>
          <w:rFonts w:ascii="Times New Roman" w:hAnsi="Times New Roman" w:cs="Times New Roman"/>
          <w:b/>
          <w:i w:val="0"/>
          <w:color w:val="auto"/>
        </w:rPr>
        <w:fldChar w:fldCharType="end"/>
      </w:r>
      <w:r w:rsidR="00DF46F4" w:rsidRPr="00686018">
        <w:rPr>
          <w:rFonts w:ascii="Times New Roman" w:hAnsi="Times New Roman" w:cs="Times New Roman"/>
          <w:b/>
          <w:i w:val="0"/>
          <w:color w:val="auto"/>
        </w:rPr>
        <w:t>.</w:t>
      </w:r>
      <w:r w:rsidR="00DF46F4" w:rsidRPr="00686018">
        <w:rPr>
          <w:rFonts w:ascii="Times New Roman" w:hAnsi="Times New Roman" w:cs="Times New Roman"/>
          <w:i w:val="0"/>
          <w:color w:val="auto"/>
        </w:rPr>
        <w:t xml:space="preserve"> Lectura de la composición de biogás diaria.</w:t>
      </w:r>
      <w:bookmarkEnd w:id="211"/>
    </w:p>
    <w:p w:rsidR="00DF46F4" w:rsidRPr="00686018" w:rsidRDefault="00DF46F4" w:rsidP="00B46DDC">
      <w:pPr>
        <w:jc w:val="center"/>
        <w:rPr>
          <w:rFonts w:ascii="Times New Roman" w:hAnsi="Times New Roman" w:cs="Times New Roman"/>
          <w:sz w:val="18"/>
          <w:szCs w:val="18"/>
        </w:rPr>
      </w:pPr>
      <w:r w:rsidRPr="00686018">
        <w:rPr>
          <w:rFonts w:ascii="Times New Roman" w:hAnsi="Times New Roman" w:cs="Times New Roman"/>
          <w:b/>
          <w:sz w:val="18"/>
          <w:szCs w:val="18"/>
        </w:rPr>
        <w:t>Fuente:</w:t>
      </w:r>
      <w:r w:rsidRPr="00686018">
        <w:rPr>
          <w:rFonts w:ascii="Times New Roman" w:hAnsi="Times New Roman" w:cs="Times New Roman"/>
          <w:sz w:val="18"/>
          <w:szCs w:val="18"/>
        </w:rPr>
        <w:t xml:space="preserve"> </w:t>
      </w:r>
      <w:r w:rsidR="006D64AB" w:rsidRPr="00686018">
        <w:rPr>
          <w:rFonts w:ascii="Times New Roman" w:hAnsi="Times New Roman" w:cs="Times New Roman"/>
          <w:sz w:val="18"/>
          <w:szCs w:val="18"/>
        </w:rPr>
        <w:t>Elaborado por los autores, 2019.</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212" w:name="_Toc9537836"/>
      <w:r w:rsidRPr="00686018">
        <w:rPr>
          <w:rFonts w:ascii="Times New Roman" w:hAnsi="Times New Roman" w:cs="Times New Roman"/>
          <w:i w:val="0"/>
        </w:rPr>
        <w:t>Rendimiento de biogás</w:t>
      </w:r>
      <w:bookmarkEnd w:id="212"/>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 xml:space="preserve">El rendimiento de biogás experimental </w:t>
      </w:r>
      <w:r w:rsidR="00554050" w:rsidRPr="00686018">
        <w:rPr>
          <w:rFonts w:ascii="Times New Roman" w:hAnsi="Times New Roman" w:cs="Times New Roman"/>
          <w:sz w:val="24"/>
        </w:rPr>
        <w:t xml:space="preserve">fue </w:t>
      </w:r>
      <w:r w:rsidRPr="00686018">
        <w:rPr>
          <w:rFonts w:ascii="Times New Roman" w:hAnsi="Times New Roman" w:cs="Times New Roman"/>
          <w:sz w:val="24"/>
        </w:rPr>
        <w:t xml:space="preserve">calculado a partir de la diferencia de presión generada cada día en los digestores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{"citationItems":[{"id":"ITEM-1","itemData":{"DOI":"10.1016/j.wasman.2015.11.012","ISBN":"4989289137","ISSN":"18792456","PMID":"25817027","abstract":"The biochemical methane potential test is the most commonly applied method to determine methane production from organic wastes. One of the parameters measured is the volume of biogas produced which can be determined manometrically by keeping the volume constant and measuring increases in pressure. In the present study, the effect of pressure accumulation in the headspace of the reactors has been studied. Triplicate batch trials employing cocoa shell, waste coffee grounds and dairy manure as substrates have been performed under two headspace pressure conditions. The results obtained in the study showed that headspace overpressures higher than 600. mbar affected methane production for waste coffee grounds. On the contrary, headspace overpressures within a range of 600-1000. mbar did not affect methane production for cocoa shell and dairy manure. With the analyses performed in the present work it has not been possible to determine the reasons for the lower methane yield value obtained for the waste coffee grounds under high headspace pressures.","author":[{"dropping-particle":"","family":"Valero","given":"David","non-dropping-particle":"","parse-names":false,"suffix":""},{"dropping-particle":"","family":"Montes","given":"Jesús A.","non-dropping-particle":"","parse-names":false,"suffix":""},{"dropping-particle":"","family":"Rico","given":"José Luis","non-dropping-particle":"","parse-names":false,"suffix":""},{"dropping-particle":"","family":"Rico","given":"Carlos","non-dropping-particle":"","parse-names":false,"suffix":""}],"container-title":"Waste Management","id":"ITEM-1","issued":{"date-parts":[["2016"]]},"page":"193-198","publisher":"Elsevier Ltd","title":"Influence of headspace pressure on methane production in Biochemical Methane Potential (BMP) tests","type":"article-journal","volume":"48"},"uris":["http://www.mendeley.com/documents/?uuid=b1d8125e-1632-4732-a10a-3a42092b88c5","http://www.mendeley.com/documents/?uuid=077ea8f4-83e2-47bd-8f35-aa75a7df4aa1"]}],"mendeley":{"formattedCitation":"(Valero et al. 2016)","plainTextFormattedCitation":"(Valero et al. 2016)","previouslyFormattedCitation":"(Valero et al. 2016)"},"properties":{"noteIndex":0},"schema":"https://github.com/citation-style-language/schema/raw/master/csl-citation.json"}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 xml:space="preserve">(Valero </w:t>
      </w:r>
      <w:r w:rsidR="00C80D09">
        <w:rPr>
          <w:rFonts w:ascii="Times New Roman" w:hAnsi="Times New Roman" w:cs="Times New Roman"/>
          <w:noProof/>
          <w:sz w:val="24"/>
        </w:rPr>
        <w:t>et al.,</w:t>
      </w:r>
      <w:r w:rsidRPr="00686018">
        <w:rPr>
          <w:rFonts w:ascii="Times New Roman" w:hAnsi="Times New Roman" w:cs="Times New Roman"/>
          <w:noProof/>
          <w:sz w:val="24"/>
        </w:rPr>
        <w:t xml:space="preserve"> 2016)</w:t>
      </w:r>
      <w:r w:rsidRPr="00686018">
        <w:rPr>
          <w:rFonts w:ascii="Times New Roman" w:hAnsi="Times New Roman" w:cs="Times New Roman"/>
          <w:sz w:val="24"/>
        </w:rPr>
        <w:fldChar w:fldCharType="end"/>
      </w:r>
      <w:r w:rsidRPr="00686018">
        <w:rPr>
          <w:rFonts w:ascii="Times New Roman" w:hAnsi="Times New Roman" w:cs="Times New Roman"/>
          <w:sz w:val="24"/>
        </w:rPr>
        <w:t>.</w:t>
      </w:r>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Partiendo de la ecuación del gas ideal; el volumen libre (V</w:t>
      </w:r>
      <w:r w:rsidRPr="00686018">
        <w:rPr>
          <w:rFonts w:ascii="Times New Roman" w:hAnsi="Times New Roman" w:cs="Times New Roman"/>
          <w:sz w:val="24"/>
          <w:vertAlign w:val="subscript"/>
        </w:rPr>
        <w:t>L</w:t>
      </w:r>
      <w:r w:rsidR="00554050" w:rsidRPr="00686018">
        <w:rPr>
          <w:rFonts w:ascii="Times New Roman" w:hAnsi="Times New Roman" w:cs="Times New Roman"/>
          <w:sz w:val="24"/>
        </w:rPr>
        <w:t>) es</w:t>
      </w:r>
      <w:r w:rsidRPr="00686018">
        <w:rPr>
          <w:rFonts w:ascii="Times New Roman" w:hAnsi="Times New Roman" w:cs="Times New Roman"/>
          <w:sz w:val="24"/>
        </w:rPr>
        <w:t xml:space="preserve"> el espacio donde se acumulará las </w:t>
      </w:r>
      <w:r w:rsidRPr="00686018">
        <w:rPr>
          <w:rFonts w:ascii="Times New Roman" w:eastAsiaTheme="minorEastAsia" w:hAnsi="Times New Roman" w:cs="Times New Roman"/>
          <w:sz w:val="24"/>
        </w:rPr>
        <w:t>moles de biogás (n</w:t>
      </w:r>
      <w:r w:rsidRPr="00686018">
        <w:rPr>
          <w:rFonts w:ascii="Times New Roman" w:eastAsiaTheme="minorEastAsia" w:hAnsi="Times New Roman" w:cs="Times New Roman"/>
          <w:sz w:val="24"/>
          <w:vertAlign w:val="subscript"/>
        </w:rPr>
        <w:t>biogás</w:t>
      </w:r>
      <w:r w:rsidRPr="00686018">
        <w:rPr>
          <w:rFonts w:ascii="Times New Roman" w:eastAsiaTheme="minorEastAsia" w:hAnsi="Times New Roman" w:cs="Times New Roman"/>
          <w:sz w:val="24"/>
        </w:rPr>
        <w:t>)</w:t>
      </w:r>
      <w:r w:rsidRPr="00686018">
        <w:rPr>
          <w:rFonts w:ascii="Times New Roman" w:hAnsi="Times New Roman" w:cs="Times New Roman"/>
          <w:sz w:val="24"/>
        </w:rPr>
        <w:t xml:space="preserve"> a una temperatura (T</w:t>
      </w:r>
      <w:r w:rsidRPr="00686018">
        <w:rPr>
          <w:rFonts w:ascii="Times New Roman" w:hAnsi="Times New Roman" w:cs="Times New Roman"/>
          <w:sz w:val="24"/>
          <w:vertAlign w:val="subscript"/>
        </w:rPr>
        <w:t>e</w:t>
      </w:r>
      <w:r w:rsidRPr="00686018">
        <w:rPr>
          <w:rFonts w:ascii="Times New Roman" w:hAnsi="Times New Roman" w:cs="Times New Roman"/>
          <w:sz w:val="24"/>
        </w:rPr>
        <w:t>) de 38°C.</w:t>
      </w:r>
    </w:p>
    <w:p w:rsidR="00DF46F4" w:rsidRPr="00686018" w:rsidRDefault="000B7990" w:rsidP="00A31608">
      <w:pPr>
        <w:jc w:val="both"/>
        <w:rPr>
          <w:rFonts w:ascii="Times New Roman" w:eastAsiaTheme="minorEastAsia" w:hAnsi="Times New Roman" w:cs="Times New Roman"/>
          <w:sz w:val="24"/>
        </w:rPr>
      </w:pPr>
      <m:oMathPara>
        <m:oMath>
          <m:sSub>
            <m:sSubPr>
              <m:ctrlPr>
                <w:rPr>
                  <w:rFonts w:ascii="Cambria Math" w:hAnsi="Cambria Math" w:cs="Times New Roman"/>
                  <w:sz w:val="24"/>
                </w:rPr>
              </m:ctrlPr>
            </m:sSubPr>
            <m:e>
              <m:r>
                <w:rPr>
                  <w:rFonts w:ascii="Cambria Math" w:hAnsi="Cambria Math" w:cs="Times New Roman"/>
                  <w:sz w:val="24"/>
                </w:rPr>
                <m:t>P</m:t>
              </m:r>
            </m:e>
            <m:sub>
              <m:r>
                <w:rPr>
                  <w:rFonts w:ascii="Cambria Math" w:hAnsi="Cambria Math" w:cs="Times New Roman"/>
                  <w:sz w:val="24"/>
                </w:rPr>
                <m:t>biogas</m:t>
              </m:r>
            </m:sub>
          </m:sSub>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V</m:t>
              </m:r>
            </m:e>
            <m:sub>
              <m:r>
                <w:rPr>
                  <w:rFonts w:ascii="Cambria Math" w:hAnsi="Cambria Math" w:cs="Times New Roman"/>
                  <w:sz w:val="24"/>
                </w:rPr>
                <m:t>L</m:t>
              </m:r>
            </m:sub>
          </m:sSub>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n</m:t>
              </m:r>
            </m:e>
            <m:sub>
              <m:r>
                <w:rPr>
                  <w:rFonts w:ascii="Cambria Math" w:hAnsi="Cambria Math" w:cs="Times New Roman"/>
                  <w:sz w:val="24"/>
                </w:rPr>
                <m:t>biogas</m:t>
              </m:r>
            </m:sub>
          </m:sSub>
          <m:r>
            <m:rPr>
              <m:sty m:val="p"/>
            </m:rPr>
            <w:rPr>
              <w:rFonts w:ascii="Cambria Math" w:hAnsi="Cambria Math" w:cs="Times New Roman"/>
              <w:sz w:val="24"/>
            </w:rPr>
            <m:t>*</m:t>
          </m:r>
          <m:r>
            <w:rPr>
              <w:rFonts w:ascii="Cambria Math" w:hAnsi="Cambria Math" w:cs="Times New Roman"/>
              <w:sz w:val="24"/>
            </w:rPr>
            <m:t>R</m:t>
          </m:r>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T</m:t>
              </m:r>
            </m:e>
            <m:sub>
              <m:r>
                <w:rPr>
                  <w:rFonts w:ascii="Cambria Math" w:hAnsi="Cambria Math" w:cs="Times New Roman"/>
                  <w:sz w:val="24"/>
                </w:rPr>
                <m:t>e</m:t>
              </m:r>
            </m:sub>
          </m:sSub>
        </m:oMath>
      </m:oMathPara>
    </w:p>
    <w:p w:rsidR="00DF46F4" w:rsidRPr="00686018" w:rsidRDefault="00DF46F4" w:rsidP="00A31608">
      <w:pPr>
        <w:spacing w:before="360" w:after="36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Al reordenar la ecuación anterior, obtenemos:</w:t>
      </w:r>
    </w:p>
    <w:p w:rsidR="00DF46F4" w:rsidRPr="00686018" w:rsidRDefault="000B7990" w:rsidP="00A31608">
      <w:pPr>
        <w:jc w:val="both"/>
        <w:rPr>
          <w:rFonts w:ascii="Times New Roman" w:eastAsiaTheme="minorEastAsia" w:hAnsi="Times New Roman" w:cs="Times New Roman"/>
          <w:sz w:val="24"/>
        </w:rPr>
      </w:pPr>
      <m:oMathPara>
        <m:oMath>
          <m:sSub>
            <m:sSubPr>
              <m:ctrlPr>
                <w:rPr>
                  <w:rFonts w:ascii="Cambria Math" w:hAnsi="Cambria Math" w:cs="Times New Roman"/>
                  <w:sz w:val="24"/>
                </w:rPr>
              </m:ctrlPr>
            </m:sSubPr>
            <m:e>
              <m:r>
                <w:rPr>
                  <w:rFonts w:ascii="Cambria Math" w:hAnsi="Cambria Math" w:cs="Times New Roman"/>
                  <w:sz w:val="24"/>
                </w:rPr>
                <m:t>n</m:t>
              </m:r>
            </m:e>
            <m:sub>
              <m:r>
                <w:rPr>
                  <w:rFonts w:ascii="Cambria Math" w:hAnsi="Cambria Math" w:cs="Times New Roman"/>
                  <w:sz w:val="24"/>
                </w:rPr>
                <m:t>biogas</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P</m:t>
                  </m:r>
                </m:e>
                <m:sub>
                  <m:r>
                    <w:rPr>
                      <w:rFonts w:ascii="Cambria Math" w:hAnsi="Cambria Math" w:cs="Times New Roman"/>
                      <w:sz w:val="24"/>
                    </w:rPr>
                    <m:t>biogas</m:t>
                  </m:r>
                </m:sub>
              </m:sSub>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V</m:t>
                  </m:r>
                </m:e>
                <m:sub>
                  <m:r>
                    <w:rPr>
                      <w:rFonts w:ascii="Cambria Math" w:hAnsi="Cambria Math" w:cs="Times New Roman"/>
                      <w:sz w:val="24"/>
                    </w:rPr>
                    <m:t>L</m:t>
                  </m:r>
                </m:sub>
              </m:sSub>
            </m:num>
            <m:den>
              <m:r>
                <w:rPr>
                  <w:rFonts w:ascii="Cambria Math" w:hAnsi="Cambria Math" w:cs="Times New Roman"/>
                  <w:sz w:val="24"/>
                </w:rPr>
                <m:t>R</m:t>
              </m:r>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T</m:t>
                  </m:r>
                </m:e>
                <m:sub>
                  <m:r>
                    <w:rPr>
                      <w:rFonts w:ascii="Cambria Math" w:hAnsi="Cambria Math" w:cs="Times New Roman"/>
                      <w:sz w:val="24"/>
                    </w:rPr>
                    <m:t>e</m:t>
                  </m:r>
                </m:sub>
              </m:sSub>
            </m:den>
          </m:f>
        </m:oMath>
      </m:oMathPara>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El volumen de biogás (V</w:t>
      </w:r>
      <w:r w:rsidRPr="00686018">
        <w:rPr>
          <w:rFonts w:ascii="Times New Roman" w:hAnsi="Times New Roman" w:cs="Times New Roman"/>
          <w:sz w:val="24"/>
          <w:vertAlign w:val="subscript"/>
        </w:rPr>
        <w:t>Biogás</w:t>
      </w:r>
      <w:r w:rsidRPr="00686018">
        <w:rPr>
          <w:rFonts w:ascii="Times New Roman" w:hAnsi="Times New Roman" w:cs="Times New Roman"/>
          <w:sz w:val="24"/>
        </w:rPr>
        <w:t xml:space="preserve">) </w:t>
      </w:r>
      <w:r w:rsidR="00554050" w:rsidRPr="00686018">
        <w:rPr>
          <w:rFonts w:ascii="Times New Roman" w:hAnsi="Times New Roman" w:cs="Times New Roman"/>
          <w:sz w:val="24"/>
        </w:rPr>
        <w:t xml:space="preserve">fue </w:t>
      </w:r>
      <w:r w:rsidRPr="00686018">
        <w:rPr>
          <w:rFonts w:ascii="Times New Roman" w:hAnsi="Times New Roman" w:cs="Times New Roman"/>
          <w:sz w:val="24"/>
        </w:rPr>
        <w:t>reportado a condiciones de temperatura (T</w:t>
      </w:r>
      <w:r w:rsidRPr="00686018">
        <w:rPr>
          <w:rFonts w:ascii="Times New Roman" w:hAnsi="Times New Roman" w:cs="Times New Roman"/>
          <w:sz w:val="24"/>
          <w:vertAlign w:val="subscript"/>
        </w:rPr>
        <w:t>CE</w:t>
      </w:r>
      <w:r w:rsidRPr="00686018">
        <w:rPr>
          <w:rFonts w:ascii="Times New Roman" w:hAnsi="Times New Roman" w:cs="Times New Roman"/>
          <w:sz w:val="24"/>
        </w:rPr>
        <w:t>) y presión (P</w:t>
      </w:r>
      <w:r w:rsidRPr="00686018">
        <w:rPr>
          <w:rFonts w:ascii="Times New Roman" w:hAnsi="Times New Roman" w:cs="Times New Roman"/>
          <w:sz w:val="24"/>
          <w:vertAlign w:val="subscript"/>
        </w:rPr>
        <w:t>CE</w:t>
      </w:r>
      <w:r w:rsidRPr="00686018">
        <w:rPr>
          <w:rFonts w:ascii="Times New Roman" w:hAnsi="Times New Roman" w:cs="Times New Roman"/>
          <w:sz w:val="24"/>
        </w:rPr>
        <w:t>) estándar, entonces, por la ecuación del gas ideal:</w:t>
      </w:r>
    </w:p>
    <w:p w:rsidR="00DF46F4" w:rsidRPr="00686018" w:rsidRDefault="000B7990" w:rsidP="00A31608">
      <w:pPr>
        <w:jc w:val="both"/>
        <w:rPr>
          <w:rFonts w:ascii="Times New Roman" w:eastAsiaTheme="minorEastAsia" w:hAnsi="Times New Roman" w:cs="Times New Roman"/>
          <w:sz w:val="24"/>
        </w:rPr>
      </w:pPr>
      <m:oMathPara>
        <m:oMath>
          <m:sSub>
            <m:sSubPr>
              <m:ctrlPr>
                <w:rPr>
                  <w:rFonts w:ascii="Cambria Math" w:hAnsi="Cambria Math" w:cs="Times New Roman"/>
                  <w:sz w:val="24"/>
                </w:rPr>
              </m:ctrlPr>
            </m:sSubPr>
            <m:e>
              <m:r>
                <w:rPr>
                  <w:rFonts w:ascii="Cambria Math" w:hAnsi="Cambria Math" w:cs="Times New Roman"/>
                  <w:sz w:val="24"/>
                </w:rPr>
                <m:t>P</m:t>
              </m:r>
            </m:e>
            <m:sub>
              <m:r>
                <w:rPr>
                  <w:rFonts w:ascii="Cambria Math" w:hAnsi="Cambria Math" w:cs="Times New Roman"/>
                  <w:sz w:val="24"/>
                </w:rPr>
                <m:t>CE</m:t>
              </m:r>
            </m:sub>
          </m:sSub>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V</m:t>
              </m:r>
            </m:e>
            <m:sub>
              <m:r>
                <w:rPr>
                  <w:rFonts w:ascii="Cambria Math" w:hAnsi="Cambria Math" w:cs="Times New Roman"/>
                  <w:sz w:val="24"/>
                </w:rPr>
                <m:t>biogas</m:t>
              </m:r>
            </m:sub>
          </m:sSub>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n</m:t>
              </m:r>
            </m:e>
            <m:sub>
              <m:r>
                <w:rPr>
                  <w:rFonts w:ascii="Cambria Math" w:hAnsi="Cambria Math" w:cs="Times New Roman"/>
                  <w:sz w:val="24"/>
                </w:rPr>
                <m:t>biogas</m:t>
              </m:r>
            </m:sub>
          </m:sSub>
          <m:r>
            <m:rPr>
              <m:sty m:val="p"/>
            </m:rPr>
            <w:rPr>
              <w:rFonts w:ascii="Cambria Math" w:hAnsi="Cambria Math" w:cs="Times New Roman"/>
              <w:sz w:val="24"/>
            </w:rPr>
            <m:t>*</m:t>
          </m:r>
          <m:r>
            <w:rPr>
              <w:rFonts w:ascii="Cambria Math" w:hAnsi="Cambria Math" w:cs="Times New Roman"/>
              <w:sz w:val="24"/>
            </w:rPr>
            <m:t>R</m:t>
          </m:r>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T</m:t>
              </m:r>
            </m:e>
            <m:sub>
              <m:r>
                <w:rPr>
                  <w:rFonts w:ascii="Cambria Math" w:hAnsi="Cambria Math" w:cs="Times New Roman"/>
                  <w:sz w:val="24"/>
                </w:rPr>
                <m:t>CE</m:t>
              </m:r>
            </m:sub>
          </m:sSub>
        </m:oMath>
      </m:oMathPara>
    </w:p>
    <w:p w:rsidR="00DF46F4" w:rsidRPr="00686018" w:rsidRDefault="00DF46F4" w:rsidP="00A31608">
      <w:pPr>
        <w:spacing w:before="360" w:after="36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Reordenamos la ecuación anterior para obtener el volumen de biogás, obtenemos:</w:t>
      </w:r>
    </w:p>
    <w:p w:rsidR="00DF46F4" w:rsidRPr="00686018" w:rsidRDefault="000B7990" w:rsidP="00A31608">
      <w:pPr>
        <w:jc w:val="both"/>
        <w:rPr>
          <w:rFonts w:ascii="Times New Roman" w:eastAsiaTheme="minorEastAsia" w:hAnsi="Times New Roman" w:cs="Times New Roman"/>
          <w:sz w:val="24"/>
        </w:rPr>
      </w:pPr>
      <m:oMathPara>
        <m:oMath>
          <m:sSub>
            <m:sSubPr>
              <m:ctrlPr>
                <w:rPr>
                  <w:rFonts w:ascii="Cambria Math" w:hAnsi="Cambria Math" w:cs="Times New Roman"/>
                  <w:sz w:val="24"/>
                </w:rPr>
              </m:ctrlPr>
            </m:sSubPr>
            <m:e>
              <m:r>
                <w:rPr>
                  <w:rFonts w:ascii="Cambria Math" w:hAnsi="Cambria Math" w:cs="Times New Roman"/>
                  <w:sz w:val="24"/>
                </w:rPr>
                <m:t>V</m:t>
              </m:r>
            </m:e>
            <m:sub>
              <m:r>
                <w:rPr>
                  <w:rFonts w:ascii="Cambria Math" w:hAnsi="Cambria Math" w:cs="Times New Roman"/>
                  <w:sz w:val="24"/>
                </w:rPr>
                <m:t>biogas</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n</m:t>
                  </m:r>
                </m:e>
                <m:sub>
                  <m:r>
                    <w:rPr>
                      <w:rFonts w:ascii="Cambria Math" w:hAnsi="Cambria Math" w:cs="Times New Roman"/>
                      <w:sz w:val="24"/>
                    </w:rPr>
                    <m:t>biogas</m:t>
                  </m:r>
                </m:sub>
              </m:sSub>
              <m:r>
                <m:rPr>
                  <m:sty m:val="p"/>
                </m:rPr>
                <w:rPr>
                  <w:rFonts w:ascii="Cambria Math" w:hAnsi="Cambria Math" w:cs="Times New Roman"/>
                  <w:sz w:val="24"/>
                </w:rPr>
                <m:t>*</m:t>
              </m:r>
              <m:r>
                <w:rPr>
                  <w:rFonts w:ascii="Cambria Math" w:hAnsi="Cambria Math" w:cs="Times New Roman"/>
                  <w:sz w:val="24"/>
                </w:rPr>
                <m:t>R</m:t>
              </m:r>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T</m:t>
                  </m:r>
                </m:e>
                <m:sub>
                  <m:r>
                    <w:rPr>
                      <w:rFonts w:ascii="Cambria Math" w:hAnsi="Cambria Math" w:cs="Times New Roman"/>
                      <w:sz w:val="24"/>
                    </w:rPr>
                    <m:t>CE</m:t>
                  </m:r>
                </m:sub>
              </m:sSub>
            </m:num>
            <m:den>
              <m:sSub>
                <m:sSubPr>
                  <m:ctrlPr>
                    <w:rPr>
                      <w:rFonts w:ascii="Cambria Math" w:hAnsi="Cambria Math" w:cs="Times New Roman"/>
                      <w:sz w:val="24"/>
                    </w:rPr>
                  </m:ctrlPr>
                </m:sSubPr>
                <m:e>
                  <m:r>
                    <w:rPr>
                      <w:rFonts w:ascii="Cambria Math" w:hAnsi="Cambria Math" w:cs="Times New Roman"/>
                      <w:sz w:val="24"/>
                    </w:rPr>
                    <m:t>P</m:t>
                  </m:r>
                </m:e>
                <m:sub>
                  <m:r>
                    <w:rPr>
                      <w:rFonts w:ascii="Cambria Math" w:hAnsi="Cambria Math" w:cs="Times New Roman"/>
                      <w:sz w:val="24"/>
                    </w:rPr>
                    <m:t>CE</m:t>
                  </m:r>
                </m:sub>
              </m:sSub>
            </m:den>
          </m:f>
        </m:oMath>
      </m:oMathPara>
    </w:p>
    <w:p w:rsidR="00DF46F4" w:rsidRPr="00686018" w:rsidRDefault="00DF46F4" w:rsidP="00A31608">
      <w:pPr>
        <w:spacing w:before="360" w:after="360"/>
        <w:jc w:val="both"/>
        <w:rPr>
          <w:rFonts w:ascii="Times New Roman" w:hAnsi="Times New Roman" w:cs="Times New Roman"/>
          <w:sz w:val="24"/>
        </w:rPr>
      </w:pPr>
      <w:r w:rsidRPr="00686018">
        <w:rPr>
          <w:rFonts w:ascii="Times New Roman" w:hAnsi="Times New Roman" w:cs="Times New Roman"/>
          <w:sz w:val="24"/>
        </w:rPr>
        <w:t>Reemplazando el número de moles de biogás en la ecuación anterior, obtenemos:</w:t>
      </w:r>
    </w:p>
    <w:p w:rsidR="00DF46F4" w:rsidRPr="00686018" w:rsidRDefault="000B7990" w:rsidP="00A31608">
      <w:pPr>
        <w:jc w:val="both"/>
        <w:rPr>
          <w:rFonts w:ascii="Times New Roman" w:eastAsiaTheme="minorEastAsia" w:hAnsi="Times New Roman" w:cs="Times New Roman"/>
          <w:sz w:val="24"/>
        </w:rPr>
      </w:pPr>
      <m:oMathPara>
        <m:oMath>
          <m:sSub>
            <m:sSubPr>
              <m:ctrlPr>
                <w:rPr>
                  <w:rFonts w:ascii="Cambria Math" w:hAnsi="Cambria Math" w:cs="Times New Roman"/>
                  <w:sz w:val="24"/>
                </w:rPr>
              </m:ctrlPr>
            </m:sSubPr>
            <m:e>
              <m:r>
                <w:rPr>
                  <w:rFonts w:ascii="Cambria Math" w:hAnsi="Cambria Math" w:cs="Times New Roman"/>
                  <w:sz w:val="24"/>
                </w:rPr>
                <m:t>V</m:t>
              </m:r>
            </m:e>
            <m:sub>
              <m:r>
                <w:rPr>
                  <w:rFonts w:ascii="Cambria Math" w:hAnsi="Cambria Math" w:cs="Times New Roman"/>
                  <w:sz w:val="24"/>
                </w:rPr>
                <m:t>biogas</m:t>
              </m:r>
            </m:sub>
          </m:sSub>
          <m:r>
            <m:rPr>
              <m:sty m:val="p"/>
            </m:rPr>
            <w:rPr>
              <w:rFonts w:ascii="Cambria Math" w:hAnsi="Cambria Math" w:cs="Times New Roman"/>
              <w:sz w:val="24"/>
            </w:rPr>
            <m:t>=</m:t>
          </m:r>
          <m:f>
            <m:fPr>
              <m:ctrlPr>
                <w:rPr>
                  <w:rFonts w:ascii="Cambria Math" w:hAnsi="Cambria Math" w:cs="Times New Roman"/>
                  <w:sz w:val="24"/>
                </w:rPr>
              </m:ctrlPr>
            </m:fPr>
            <m:num>
              <m:sSub>
                <m:sSubPr>
                  <m:ctrlPr>
                    <w:rPr>
                      <w:rFonts w:ascii="Cambria Math" w:hAnsi="Cambria Math" w:cs="Times New Roman"/>
                      <w:sz w:val="24"/>
                    </w:rPr>
                  </m:ctrlPr>
                </m:sSubPr>
                <m:e>
                  <m:r>
                    <w:rPr>
                      <w:rFonts w:ascii="Cambria Math" w:hAnsi="Cambria Math" w:cs="Times New Roman"/>
                      <w:sz w:val="24"/>
                    </w:rPr>
                    <m:t>P</m:t>
                  </m:r>
                </m:e>
                <m:sub>
                  <m:r>
                    <w:rPr>
                      <w:rFonts w:ascii="Cambria Math" w:hAnsi="Cambria Math" w:cs="Times New Roman"/>
                      <w:sz w:val="24"/>
                    </w:rPr>
                    <m:t>biogas</m:t>
                  </m:r>
                </m:sub>
              </m:sSub>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V</m:t>
                  </m:r>
                </m:e>
                <m:sub>
                  <m:r>
                    <w:rPr>
                      <w:rFonts w:ascii="Cambria Math" w:hAnsi="Cambria Math" w:cs="Times New Roman"/>
                      <w:sz w:val="24"/>
                    </w:rPr>
                    <m:t>L</m:t>
                  </m:r>
                </m:sub>
              </m:sSub>
            </m:num>
            <m:den>
              <m:r>
                <w:rPr>
                  <w:rFonts w:ascii="Cambria Math" w:hAnsi="Cambria Math" w:cs="Times New Roman"/>
                  <w:sz w:val="24"/>
                </w:rPr>
                <m:t>R</m:t>
              </m:r>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T</m:t>
                  </m:r>
                </m:e>
                <m:sub>
                  <m:r>
                    <w:rPr>
                      <w:rFonts w:ascii="Cambria Math" w:hAnsi="Cambria Math" w:cs="Times New Roman"/>
                      <w:sz w:val="24"/>
                    </w:rPr>
                    <m:t>e</m:t>
                  </m:r>
                </m:sub>
              </m:sSub>
            </m:den>
          </m:f>
          <m:r>
            <m:rPr>
              <m:sty m:val="p"/>
            </m:rPr>
            <w:rPr>
              <w:rFonts w:ascii="Cambria Math" w:hAnsi="Cambria Math" w:cs="Times New Roman"/>
              <w:sz w:val="24"/>
            </w:rPr>
            <m:t>*</m:t>
          </m:r>
          <m:f>
            <m:fPr>
              <m:ctrlPr>
                <w:rPr>
                  <w:rFonts w:ascii="Cambria Math" w:hAnsi="Cambria Math" w:cs="Times New Roman"/>
                  <w:sz w:val="24"/>
                </w:rPr>
              </m:ctrlPr>
            </m:fPr>
            <m:num>
              <m:r>
                <w:rPr>
                  <w:rFonts w:ascii="Cambria Math" w:hAnsi="Cambria Math" w:cs="Times New Roman"/>
                  <w:sz w:val="24"/>
                </w:rPr>
                <m:t>R</m:t>
              </m:r>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T</m:t>
                  </m:r>
                </m:e>
                <m:sub>
                  <m:r>
                    <w:rPr>
                      <w:rFonts w:ascii="Cambria Math" w:hAnsi="Cambria Math" w:cs="Times New Roman"/>
                      <w:sz w:val="24"/>
                    </w:rPr>
                    <m:t>CE</m:t>
                  </m:r>
                </m:sub>
              </m:sSub>
            </m:num>
            <m:den>
              <m:sSub>
                <m:sSubPr>
                  <m:ctrlPr>
                    <w:rPr>
                      <w:rFonts w:ascii="Cambria Math" w:hAnsi="Cambria Math" w:cs="Times New Roman"/>
                      <w:sz w:val="24"/>
                    </w:rPr>
                  </m:ctrlPr>
                </m:sSubPr>
                <m:e>
                  <m:r>
                    <w:rPr>
                      <w:rFonts w:ascii="Cambria Math" w:hAnsi="Cambria Math" w:cs="Times New Roman"/>
                      <w:sz w:val="24"/>
                    </w:rPr>
                    <m:t>P</m:t>
                  </m:r>
                </m:e>
                <m:sub>
                  <m:r>
                    <w:rPr>
                      <w:rFonts w:ascii="Cambria Math" w:hAnsi="Cambria Math" w:cs="Times New Roman"/>
                      <w:sz w:val="24"/>
                    </w:rPr>
                    <m:t>CE</m:t>
                  </m:r>
                </m:sub>
              </m:sSub>
            </m:den>
          </m:f>
        </m:oMath>
      </m:oMathPara>
    </w:p>
    <w:p w:rsidR="00DF46F4" w:rsidRPr="00686018" w:rsidRDefault="00DF46F4" w:rsidP="00A31608">
      <w:pPr>
        <w:spacing w:before="360" w:after="360"/>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Puesto que,</w:t>
      </w:r>
      <m:oMath>
        <m:f>
          <m:fPr>
            <m:ctrlPr>
              <w:rPr>
                <w:rFonts w:ascii="Cambria Math" w:hAnsi="Cambria Math" w:cs="Times New Roman"/>
                <w:sz w:val="24"/>
              </w:rPr>
            </m:ctrlPr>
          </m:fPr>
          <m:num>
            <m:r>
              <w:rPr>
                <w:rFonts w:ascii="Cambria Math" w:hAnsi="Cambria Math" w:cs="Times New Roman"/>
                <w:sz w:val="24"/>
              </w:rPr>
              <m:t>R</m:t>
            </m:r>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T</m:t>
                </m:r>
              </m:e>
              <m:sub>
                <m:r>
                  <w:rPr>
                    <w:rFonts w:ascii="Cambria Math" w:hAnsi="Cambria Math" w:cs="Times New Roman"/>
                    <w:sz w:val="24"/>
                  </w:rPr>
                  <m:t>CE</m:t>
                </m:r>
              </m:sub>
            </m:sSub>
          </m:num>
          <m:den>
            <m:sSub>
              <m:sSubPr>
                <m:ctrlPr>
                  <w:rPr>
                    <w:rFonts w:ascii="Cambria Math" w:hAnsi="Cambria Math" w:cs="Times New Roman"/>
                    <w:sz w:val="24"/>
                  </w:rPr>
                </m:ctrlPr>
              </m:sSubPr>
              <m:e>
                <m:r>
                  <w:rPr>
                    <w:rFonts w:ascii="Cambria Math" w:hAnsi="Cambria Math" w:cs="Times New Roman"/>
                    <w:sz w:val="24"/>
                  </w:rPr>
                  <m:t>P</m:t>
                </m:r>
              </m:e>
              <m:sub>
                <m:r>
                  <w:rPr>
                    <w:rFonts w:ascii="Cambria Math" w:hAnsi="Cambria Math" w:cs="Times New Roman"/>
                    <w:sz w:val="24"/>
                  </w:rPr>
                  <m:t>CE</m:t>
                </m:r>
              </m:sub>
            </m:sSub>
          </m:den>
        </m:f>
      </m:oMath>
      <w:r w:rsidR="00803CE6" w:rsidRPr="00686018">
        <w:rPr>
          <w:rFonts w:ascii="Times New Roman" w:eastAsiaTheme="minorEastAsia" w:hAnsi="Times New Roman" w:cs="Times New Roman"/>
          <w:sz w:val="24"/>
        </w:rPr>
        <w:t xml:space="preserve"> </w:t>
      </w:r>
      <w:r w:rsidRPr="00686018">
        <w:rPr>
          <w:rFonts w:ascii="Times New Roman" w:eastAsiaTheme="minorEastAsia" w:hAnsi="Times New Roman" w:cs="Times New Roman"/>
          <w:sz w:val="24"/>
        </w:rPr>
        <w:t xml:space="preserve">representa el volumen molar de biogás (C=22.41L/mol) a condiciones de temperatura y presión estándar, la ecuación para el volumen de biogás </w:t>
      </w:r>
      <w:r w:rsidR="00160EB7" w:rsidRPr="00686018">
        <w:rPr>
          <w:rFonts w:ascii="Times New Roman" w:eastAsiaTheme="minorEastAsia" w:hAnsi="Times New Roman" w:cs="Times New Roman"/>
          <w:sz w:val="24"/>
        </w:rPr>
        <w:t xml:space="preserve">que </w:t>
      </w:r>
      <w:r w:rsidRPr="00686018">
        <w:rPr>
          <w:rFonts w:ascii="Times New Roman" w:eastAsiaTheme="minorEastAsia" w:hAnsi="Times New Roman" w:cs="Times New Roman"/>
          <w:sz w:val="24"/>
        </w:rPr>
        <w:t>se</w:t>
      </w:r>
      <w:r w:rsidR="00DF7D54" w:rsidRPr="00686018">
        <w:rPr>
          <w:rFonts w:ascii="Times New Roman" w:eastAsiaTheme="minorEastAsia" w:hAnsi="Times New Roman" w:cs="Times New Roman"/>
          <w:sz w:val="24"/>
        </w:rPr>
        <w:t xml:space="preserve"> genera es</w:t>
      </w:r>
      <w:r w:rsidRPr="00686018">
        <w:rPr>
          <w:rFonts w:ascii="Times New Roman" w:eastAsiaTheme="minorEastAsia" w:hAnsi="Times New Roman" w:cs="Times New Roman"/>
          <w:sz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1"/>
        <w:gridCol w:w="616"/>
      </w:tblGrid>
      <w:tr w:rsidR="00DF46F4" w:rsidRPr="00686018" w:rsidTr="00DF46F4">
        <w:tc>
          <w:tcPr>
            <w:tcW w:w="7933" w:type="dxa"/>
            <w:vAlign w:val="center"/>
          </w:tcPr>
          <w:p w:rsidR="00DF46F4" w:rsidRPr="00686018" w:rsidRDefault="000B7990" w:rsidP="00A31608">
            <w:pPr>
              <w:jc w:val="both"/>
              <w:rPr>
                <w:rFonts w:ascii="Times New Roman" w:hAnsi="Times New Roman" w:cs="Times New Roman"/>
                <w:b/>
                <w:sz w:val="24"/>
                <w:szCs w:val="24"/>
              </w:rPr>
            </w:pPr>
            <m:oMathPara>
              <m:oMathParaPr>
                <m:jc m:val="center"/>
              </m:oMathParaPr>
              <m:oMath>
                <m:sSub>
                  <m:sSubPr>
                    <m:ctrlPr>
                      <w:rPr>
                        <w:rFonts w:ascii="Cambria Math" w:hAnsi="Cambria Math" w:cs="Times New Roman"/>
                        <w:b/>
                        <w:sz w:val="24"/>
                      </w:rPr>
                    </m:ctrlPr>
                  </m:sSubPr>
                  <m:e>
                    <m:r>
                      <m:rPr>
                        <m:sty m:val="bi"/>
                      </m:rPr>
                      <w:rPr>
                        <w:rFonts w:ascii="Cambria Math" w:hAnsi="Cambria Math" w:cs="Times New Roman"/>
                        <w:sz w:val="24"/>
                      </w:rPr>
                      <m:t>V</m:t>
                    </m:r>
                  </m:e>
                  <m:sub>
                    <m:r>
                      <m:rPr>
                        <m:sty m:val="bi"/>
                      </m:rPr>
                      <w:rPr>
                        <w:rFonts w:ascii="Cambria Math" w:hAnsi="Cambria Math" w:cs="Times New Roman"/>
                        <w:sz w:val="24"/>
                      </w:rPr>
                      <m:t>biogas</m:t>
                    </m:r>
                  </m:sub>
                </m:sSub>
                <m:r>
                  <m:rPr>
                    <m:sty m:val="b"/>
                  </m:rPr>
                  <w:rPr>
                    <w:rFonts w:ascii="Cambria Math" w:hAnsi="Cambria Math" w:cs="Times New Roman"/>
                    <w:sz w:val="24"/>
                  </w:rPr>
                  <m:t>=</m:t>
                </m:r>
                <m:d>
                  <m:dPr>
                    <m:ctrlPr>
                      <w:rPr>
                        <w:rFonts w:ascii="Cambria Math" w:hAnsi="Cambria Math" w:cs="Times New Roman"/>
                        <w:b/>
                        <w:sz w:val="24"/>
                      </w:rPr>
                    </m:ctrlPr>
                  </m:dPr>
                  <m:e>
                    <m:f>
                      <m:fPr>
                        <m:ctrlPr>
                          <w:rPr>
                            <w:rFonts w:ascii="Cambria Math" w:hAnsi="Cambria Math" w:cs="Times New Roman"/>
                            <w:b/>
                            <w:sz w:val="24"/>
                          </w:rPr>
                        </m:ctrlPr>
                      </m:fPr>
                      <m:num>
                        <m:r>
                          <m:rPr>
                            <m:sty m:val="bi"/>
                          </m:rPr>
                          <w:rPr>
                            <w:rFonts w:ascii="Cambria Math" w:hAnsi="Cambria Math" w:cs="Times New Roman"/>
                            <w:sz w:val="24"/>
                          </w:rPr>
                          <m:t>ΔP</m:t>
                        </m:r>
                        <m:r>
                          <m:rPr>
                            <m:sty m:val="b"/>
                          </m:rPr>
                          <w:rPr>
                            <w:rFonts w:ascii="Cambria Math" w:hAnsi="Cambria Math" w:cs="Times New Roman"/>
                            <w:sz w:val="24"/>
                          </w:rPr>
                          <m:t>*</m:t>
                        </m:r>
                        <m:sSub>
                          <m:sSubPr>
                            <m:ctrlPr>
                              <w:rPr>
                                <w:rFonts w:ascii="Cambria Math" w:hAnsi="Cambria Math" w:cs="Times New Roman"/>
                                <w:b/>
                                <w:sz w:val="24"/>
                              </w:rPr>
                            </m:ctrlPr>
                          </m:sSubPr>
                          <m:e>
                            <m:r>
                              <m:rPr>
                                <m:sty m:val="bi"/>
                              </m:rPr>
                              <w:rPr>
                                <w:rFonts w:ascii="Cambria Math" w:hAnsi="Cambria Math" w:cs="Times New Roman"/>
                                <w:sz w:val="24"/>
                              </w:rPr>
                              <m:t>V</m:t>
                            </m:r>
                          </m:e>
                          <m:sub>
                            <m:r>
                              <m:rPr>
                                <m:sty m:val="bi"/>
                              </m:rPr>
                              <w:rPr>
                                <w:rFonts w:ascii="Cambria Math" w:hAnsi="Cambria Math" w:cs="Times New Roman"/>
                                <w:sz w:val="24"/>
                              </w:rPr>
                              <m:t>L</m:t>
                            </m:r>
                          </m:sub>
                        </m:sSub>
                        <m:r>
                          <m:rPr>
                            <m:sty m:val="b"/>
                          </m:rPr>
                          <w:rPr>
                            <w:rFonts w:ascii="Cambria Math" w:hAnsi="Cambria Math" w:cs="Times New Roman"/>
                            <w:sz w:val="24"/>
                          </w:rPr>
                          <m:t>*</m:t>
                        </m:r>
                        <m:r>
                          <m:rPr>
                            <m:sty m:val="bi"/>
                          </m:rPr>
                          <w:rPr>
                            <w:rFonts w:ascii="Cambria Math" w:hAnsi="Cambria Math" w:cs="Times New Roman"/>
                            <w:sz w:val="24"/>
                          </w:rPr>
                          <m:t>C</m:t>
                        </m:r>
                      </m:num>
                      <m:den>
                        <m:r>
                          <m:rPr>
                            <m:sty m:val="bi"/>
                          </m:rPr>
                          <w:rPr>
                            <w:rFonts w:ascii="Cambria Math" w:hAnsi="Cambria Math" w:cs="Times New Roman"/>
                            <w:sz w:val="24"/>
                          </w:rPr>
                          <m:t>R</m:t>
                        </m:r>
                        <m:r>
                          <m:rPr>
                            <m:sty m:val="b"/>
                          </m:rPr>
                          <w:rPr>
                            <w:rFonts w:ascii="Cambria Math" w:hAnsi="Cambria Math" w:cs="Times New Roman"/>
                            <w:sz w:val="24"/>
                          </w:rPr>
                          <m:t>*</m:t>
                        </m:r>
                        <m:sSub>
                          <m:sSubPr>
                            <m:ctrlPr>
                              <w:rPr>
                                <w:rFonts w:ascii="Cambria Math" w:hAnsi="Cambria Math" w:cs="Times New Roman"/>
                                <w:b/>
                                <w:sz w:val="24"/>
                              </w:rPr>
                            </m:ctrlPr>
                          </m:sSubPr>
                          <m:e>
                            <m:r>
                              <m:rPr>
                                <m:sty m:val="bi"/>
                              </m:rPr>
                              <w:rPr>
                                <w:rFonts w:ascii="Cambria Math" w:hAnsi="Cambria Math" w:cs="Times New Roman"/>
                                <w:sz w:val="24"/>
                              </w:rPr>
                              <m:t>T</m:t>
                            </m:r>
                          </m:e>
                          <m:sub>
                            <m:r>
                              <m:rPr>
                                <m:sty m:val="bi"/>
                              </m:rPr>
                              <w:rPr>
                                <w:rFonts w:ascii="Cambria Math" w:hAnsi="Cambria Math" w:cs="Times New Roman"/>
                                <w:sz w:val="24"/>
                              </w:rPr>
                              <m:t>e</m:t>
                            </m:r>
                          </m:sub>
                        </m:sSub>
                      </m:den>
                    </m:f>
                  </m:e>
                </m:d>
              </m:oMath>
            </m:oMathPara>
          </w:p>
        </w:tc>
        <w:tc>
          <w:tcPr>
            <w:tcW w:w="561" w:type="dxa"/>
            <w:vAlign w:val="center"/>
          </w:tcPr>
          <w:p w:rsidR="00DF46F4" w:rsidRPr="00686018" w:rsidRDefault="00DF46F4" w:rsidP="00A31608">
            <w:pPr>
              <w:keepNext/>
              <w:tabs>
                <w:tab w:val="left" w:pos="502"/>
              </w:tabs>
              <w:jc w:val="both"/>
              <w:rPr>
                <w:rFonts w:ascii="Times New Roman" w:hAnsi="Times New Roman" w:cs="Times New Roman"/>
                <w:b/>
                <w:sz w:val="24"/>
                <w:szCs w:val="24"/>
              </w:rPr>
            </w:pPr>
            <w:r w:rsidRPr="00686018">
              <w:rPr>
                <w:rFonts w:ascii="Times New Roman" w:hAnsi="Times New Roman" w:cs="Times New Roman"/>
                <w:b/>
                <w:sz w:val="24"/>
                <w:szCs w:val="24"/>
              </w:rPr>
              <w:t>(</w:t>
            </w:r>
            <w:r w:rsidRPr="00686018">
              <w:rPr>
                <w:rFonts w:ascii="Times New Roman" w:hAnsi="Times New Roman" w:cs="Times New Roman"/>
                <w:b/>
                <w:sz w:val="24"/>
                <w:szCs w:val="24"/>
              </w:rPr>
              <w:fldChar w:fldCharType="begin"/>
            </w:r>
            <w:r w:rsidRPr="00686018">
              <w:rPr>
                <w:rFonts w:ascii="Times New Roman" w:hAnsi="Times New Roman" w:cs="Times New Roman"/>
                <w:b/>
                <w:sz w:val="24"/>
                <w:szCs w:val="24"/>
              </w:rPr>
              <w:instrText xml:space="preserve"> SEQ ( \* ARABIC </w:instrText>
            </w:r>
            <w:r w:rsidRPr="00686018">
              <w:rPr>
                <w:rFonts w:ascii="Times New Roman" w:hAnsi="Times New Roman" w:cs="Times New Roman"/>
                <w:b/>
                <w:sz w:val="24"/>
                <w:szCs w:val="24"/>
              </w:rPr>
              <w:fldChar w:fldCharType="separate"/>
            </w:r>
            <w:r w:rsidR="00DD0237" w:rsidRPr="00686018">
              <w:rPr>
                <w:rFonts w:ascii="Times New Roman" w:hAnsi="Times New Roman" w:cs="Times New Roman"/>
                <w:b/>
                <w:noProof/>
                <w:sz w:val="24"/>
                <w:szCs w:val="24"/>
              </w:rPr>
              <w:t>17</w:t>
            </w:r>
            <w:r w:rsidRPr="00686018">
              <w:rPr>
                <w:rFonts w:ascii="Times New Roman" w:hAnsi="Times New Roman" w:cs="Times New Roman"/>
                <w:b/>
                <w:sz w:val="24"/>
                <w:szCs w:val="24"/>
              </w:rPr>
              <w:fldChar w:fldCharType="end"/>
            </w:r>
            <w:r w:rsidRPr="00686018">
              <w:rPr>
                <w:rFonts w:ascii="Times New Roman" w:hAnsi="Times New Roman" w:cs="Times New Roman"/>
                <w:b/>
                <w:sz w:val="24"/>
                <w:szCs w:val="24"/>
              </w:rPr>
              <w:t>)</w:t>
            </w:r>
          </w:p>
        </w:tc>
      </w:tr>
    </w:tbl>
    <w:p w:rsidR="00DF46F4" w:rsidRPr="00686018" w:rsidRDefault="00DF46F4" w:rsidP="00A31608">
      <w:pPr>
        <w:tabs>
          <w:tab w:val="left" w:pos="5864"/>
        </w:tabs>
        <w:jc w:val="both"/>
        <w:rPr>
          <w:rFonts w:ascii="Times New Roman" w:hAnsi="Times New Roman" w:cs="Times New Roman"/>
          <w:sz w:val="24"/>
        </w:rPr>
      </w:pPr>
      <w:r w:rsidRPr="00686018">
        <w:rPr>
          <w:rFonts w:ascii="Times New Roman" w:eastAsiaTheme="minorEastAsia" w:hAnsi="Times New Roman" w:cs="Times New Roman"/>
          <w:sz w:val="24"/>
        </w:rPr>
        <w:t>Donde.</w:t>
      </w:r>
      <w:r w:rsidRPr="00686018">
        <w:rPr>
          <w:rFonts w:ascii="Times New Roman" w:hAnsi="Times New Roman" w:cs="Times New Roman"/>
          <w:sz w:val="24"/>
        </w:rPr>
        <w:tab/>
      </w:r>
    </w:p>
    <w:p w:rsidR="00DF46F4" w:rsidRPr="00686018" w:rsidRDefault="00DF46F4" w:rsidP="00A31608">
      <w:pPr>
        <w:tabs>
          <w:tab w:val="left" w:pos="5864"/>
        </w:tabs>
        <w:jc w:val="both"/>
        <w:rPr>
          <w:rFonts w:ascii="Times New Roman" w:eastAsiaTheme="minorEastAsia" w:hAnsi="Times New Roman" w:cs="Times New Roman"/>
          <w:sz w:val="24"/>
        </w:rPr>
      </w:pPr>
      <w:r w:rsidRPr="00686018">
        <w:rPr>
          <w:rFonts w:ascii="Times New Roman" w:eastAsiaTheme="minorEastAsia" w:hAnsi="Times New Roman" w:cs="Times New Roman"/>
          <w:b/>
          <w:sz w:val="24"/>
        </w:rPr>
        <w:t>ΔP:</w:t>
      </w:r>
      <w:r w:rsidRPr="00686018">
        <w:rPr>
          <w:rFonts w:ascii="Times New Roman" w:eastAsiaTheme="minorEastAsia" w:hAnsi="Times New Roman" w:cs="Times New Roman"/>
          <w:sz w:val="24"/>
        </w:rPr>
        <w:t xml:space="preserve"> Diferencia de presión absoluta (KPa)</w:t>
      </w:r>
    </w:p>
    <w:p w:rsidR="00DF46F4" w:rsidRPr="00686018" w:rsidRDefault="00DF46F4" w:rsidP="00A31608">
      <w:pPr>
        <w:tabs>
          <w:tab w:val="left" w:pos="5864"/>
        </w:tabs>
        <w:jc w:val="both"/>
        <w:rPr>
          <w:rFonts w:ascii="Times New Roman" w:eastAsiaTheme="minorEastAsia" w:hAnsi="Times New Roman" w:cs="Times New Roman"/>
          <w:sz w:val="24"/>
        </w:rPr>
      </w:pPr>
      <w:r w:rsidRPr="00686018">
        <w:rPr>
          <w:rFonts w:ascii="Times New Roman" w:eastAsiaTheme="minorEastAsia" w:hAnsi="Times New Roman" w:cs="Times New Roman"/>
          <w:b/>
          <w:sz w:val="24"/>
        </w:rPr>
        <w:t>C:</w:t>
      </w:r>
      <w:r w:rsidRPr="00686018">
        <w:rPr>
          <w:rFonts w:ascii="Times New Roman" w:eastAsiaTheme="minorEastAsia" w:hAnsi="Times New Roman" w:cs="Times New Roman"/>
          <w:sz w:val="24"/>
        </w:rPr>
        <w:t xml:space="preserve"> Volumen molar de un gas a presión y temperatura estándar (22.41L/mol).</w:t>
      </w:r>
    </w:p>
    <w:p w:rsidR="00DF46F4" w:rsidRPr="00686018" w:rsidRDefault="00DF46F4" w:rsidP="00A31608">
      <w:pPr>
        <w:tabs>
          <w:tab w:val="left" w:pos="5864"/>
        </w:tabs>
        <w:jc w:val="both"/>
        <w:rPr>
          <w:rFonts w:ascii="Times New Roman" w:eastAsiaTheme="minorEastAsia" w:hAnsi="Times New Roman" w:cs="Times New Roman"/>
          <w:sz w:val="24"/>
        </w:rPr>
      </w:pPr>
      <w:r w:rsidRPr="00686018">
        <w:rPr>
          <w:rFonts w:ascii="Times New Roman" w:eastAsiaTheme="minorEastAsia" w:hAnsi="Times New Roman" w:cs="Times New Roman"/>
          <w:b/>
          <w:sz w:val="24"/>
        </w:rPr>
        <w:t>R:</w:t>
      </w:r>
      <w:r w:rsidRPr="00686018">
        <w:rPr>
          <w:rFonts w:ascii="Times New Roman" w:eastAsiaTheme="minorEastAsia" w:hAnsi="Times New Roman" w:cs="Times New Roman"/>
          <w:sz w:val="24"/>
        </w:rPr>
        <w:t xml:space="preserve"> Constante ideal de los gases (8.314 L kPa/K/mol)</w:t>
      </w:r>
      <w:r w:rsidRPr="00686018">
        <w:rPr>
          <w:rFonts w:ascii="Times New Roman" w:eastAsiaTheme="minorEastAsia" w:hAnsi="Times New Roman" w:cs="Times New Roman"/>
          <w:sz w:val="24"/>
        </w:rPr>
        <w:tab/>
      </w:r>
      <w:r w:rsidRPr="00686018">
        <w:rPr>
          <w:rFonts w:ascii="Times New Roman" w:eastAsiaTheme="minorEastAsia" w:hAnsi="Times New Roman" w:cs="Times New Roman"/>
          <w:sz w:val="24"/>
        </w:rPr>
        <w:tab/>
      </w:r>
    </w:p>
    <w:p w:rsidR="00DF46F4" w:rsidRPr="00686018" w:rsidRDefault="00DF46F4" w:rsidP="00A31608">
      <w:pPr>
        <w:tabs>
          <w:tab w:val="left" w:pos="5864"/>
        </w:tabs>
        <w:jc w:val="both"/>
        <w:rPr>
          <w:rFonts w:ascii="Times New Roman" w:eastAsiaTheme="minorEastAsia" w:hAnsi="Times New Roman" w:cs="Times New Roman"/>
          <w:sz w:val="24"/>
        </w:rPr>
      </w:pPr>
      <w:r w:rsidRPr="00686018">
        <w:rPr>
          <w:rFonts w:ascii="Times New Roman" w:eastAsiaTheme="minorEastAsia" w:hAnsi="Times New Roman" w:cs="Times New Roman"/>
          <w:b/>
          <w:sz w:val="24"/>
        </w:rPr>
        <w:t>T</w:t>
      </w:r>
      <w:r w:rsidRPr="00686018">
        <w:rPr>
          <w:rFonts w:ascii="Times New Roman" w:eastAsiaTheme="minorEastAsia" w:hAnsi="Times New Roman" w:cs="Times New Roman"/>
          <w:b/>
          <w:sz w:val="24"/>
          <w:vertAlign w:val="subscript"/>
        </w:rPr>
        <w:t>e</w:t>
      </w:r>
      <w:r w:rsidRPr="00686018">
        <w:rPr>
          <w:rFonts w:ascii="Times New Roman" w:eastAsiaTheme="minorEastAsia" w:hAnsi="Times New Roman" w:cs="Times New Roman"/>
          <w:b/>
          <w:sz w:val="24"/>
        </w:rPr>
        <w:t>:</w:t>
      </w:r>
      <w:r w:rsidRPr="00686018">
        <w:rPr>
          <w:rFonts w:ascii="Times New Roman" w:eastAsiaTheme="minorEastAsia" w:hAnsi="Times New Roman" w:cs="Times New Roman"/>
          <w:sz w:val="24"/>
        </w:rPr>
        <w:t xml:space="preserve"> temperatura d</w:t>
      </w:r>
      <w:r w:rsidR="00DD14D0">
        <w:rPr>
          <w:rFonts w:ascii="Times New Roman" w:eastAsiaTheme="minorEastAsia" w:hAnsi="Times New Roman" w:cs="Times New Roman"/>
          <w:sz w:val="24"/>
        </w:rPr>
        <w:t>e trabajo (mesofilico 38°C) 311.</w:t>
      </w:r>
      <w:r w:rsidRPr="00686018">
        <w:rPr>
          <w:rFonts w:ascii="Times New Roman" w:eastAsiaTheme="minorEastAsia" w:hAnsi="Times New Roman" w:cs="Times New Roman"/>
          <w:sz w:val="24"/>
        </w:rPr>
        <w:t>15K</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213" w:name="_Toc9537837"/>
      <w:r w:rsidRPr="00686018">
        <w:rPr>
          <w:rFonts w:ascii="Times New Roman" w:hAnsi="Times New Roman" w:cs="Times New Roman"/>
          <w:i w:val="0"/>
        </w:rPr>
        <w:t>Rendimiento de metano máximo teórico y biodegradabilidad</w:t>
      </w:r>
      <w:bookmarkEnd w:id="213"/>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El rendimiento de metano máximo teórico (</w:t>
      </w:r>
      <w:r w:rsidR="00752406" w:rsidRPr="00686018">
        <w:rPr>
          <w:rFonts w:ascii="Times New Roman" w:hAnsi="Times New Roman" w:cs="Times New Roman"/>
          <w:sz w:val="24"/>
        </w:rPr>
        <w:t>RMT</w:t>
      </w:r>
      <w:r w:rsidRPr="00686018">
        <w:rPr>
          <w:rFonts w:ascii="Times New Roman" w:hAnsi="Times New Roman" w:cs="Times New Roman"/>
          <w:sz w:val="24"/>
        </w:rPr>
        <w:t xml:space="preserve">, </w:t>
      </w:r>
      <w:r w:rsidR="00DD14D0">
        <w:rPr>
          <w:rFonts w:ascii="Times New Roman" w:hAnsi="Times New Roman" w:cs="Times New Roman"/>
          <w:sz w:val="24"/>
        </w:rPr>
        <w:t>mL</w:t>
      </w:r>
      <w:r w:rsidRPr="00686018">
        <w:rPr>
          <w:rFonts w:ascii="Times New Roman" w:hAnsi="Times New Roman" w:cs="Times New Roman"/>
          <w:sz w:val="24"/>
        </w:rPr>
        <w:t>/g-VS) se calcul</w:t>
      </w:r>
      <w:r w:rsidR="00DF7D54" w:rsidRPr="00686018">
        <w:rPr>
          <w:rFonts w:ascii="Times New Roman" w:hAnsi="Times New Roman" w:cs="Times New Roman"/>
          <w:sz w:val="24"/>
        </w:rPr>
        <w:t>ó</w:t>
      </w:r>
      <w:r w:rsidRPr="00686018">
        <w:rPr>
          <w:rFonts w:ascii="Times New Roman" w:hAnsi="Times New Roman" w:cs="Times New Roman"/>
          <w:sz w:val="24"/>
        </w:rPr>
        <w:t xml:space="preserve"> a partir de la composición elemental de los sustratos, usando la fórmula de Buswell </w:t>
      </w:r>
      <w:r w:rsidRPr="00686018">
        <w:rPr>
          <w:rFonts w:ascii="Times New Roman" w:hAnsi="Times New Roman" w:cs="Times New Roman"/>
          <w:sz w:val="24"/>
        </w:rPr>
        <w:fldChar w:fldCharType="begin" w:fldLock="1"/>
      </w:r>
      <w:r w:rsidRPr="00686018">
        <w:rPr>
          <w:rFonts w:ascii="Times New Roman" w:hAnsi="Times New Roman" w:cs="Times New Roman"/>
          <w:sz w:val="24"/>
        </w:rPr>
        <w:instrText>ADDIN CSL_CITATION {"citationItems":[{"id":"ITEM-1","itemData":{"DOI":"10.1021/ie50507a033","ISSN":"0019-7866","abstract":"This paper discusses the chemical mechanisms b3 which methane may be produced by bacteria in nature. The early history and bacteriology are briefly reviewed. Jleth- ane formation has been found to occur both with and without the reduction of carbon dioxide. Hydrocarbons, ethers, and lignin have not been found to be fermentable. With these exceptions the fermentation appears to pro- ceed smoothly and continuously regardless of the chemical composition of the substrate. Complete conversion of the substrate to the two simple products, methane and carbon dioxide, is a unique characteristic of the process. The re- action is an oxidation-reduction one involving water, rep- resented by the empirical equation Cn&amp;Ob + (n - a/4 - b/2)H?O (n/2 - a/8 f b/4)COz + (n/2 + u/8 - b/4)CHI + With a little care, it is possible to get 95 to 100% yields cal- culated from this equation.","author":[{"dropping-particle":"","family":"Buswell","given":"M","non-dropping-particle":"","parse-names":false,"suffix":""},{"dropping-particle":"","family":"Muellepi","given":"H F","non-dropping-particle":"","parse-names":false,"suffix":""}],"container-title":"Industrial and Engineering Chemistry","id":"ITEM-1","issue":"3","issued":{"date-parts":[["1952"]]},"page":"550-552","title":"Mechanis of Methane Fermentation","type":"article-journal","volume":"44"},"uris":["http://www.mendeley.com/documents/?uuid=8bdf0a27-9465-4c0f-8799-f3f905745fec"]}],"mendeley":{"formattedCitation":"(Buswell y Muellepi 1952)","plainTextFormattedCitation":"(Buswell y Muellepi 1952)","previouslyFormattedCitation":"(Buswell y Muellepi 1952)"},"properties":{"noteIndex":0},"schema":"https://github.com/citation-style-language/schema/raw/master/csl-citation.json"}</w:instrText>
      </w:r>
      <w:r w:rsidRPr="00686018">
        <w:rPr>
          <w:rFonts w:ascii="Times New Roman" w:hAnsi="Times New Roman" w:cs="Times New Roman"/>
          <w:sz w:val="24"/>
        </w:rPr>
        <w:fldChar w:fldCharType="separate"/>
      </w:r>
      <w:r w:rsidRPr="00686018">
        <w:rPr>
          <w:rFonts w:ascii="Times New Roman" w:hAnsi="Times New Roman" w:cs="Times New Roman"/>
          <w:noProof/>
          <w:sz w:val="24"/>
        </w:rPr>
        <w:t>(Buswell y Muellepi 1952)</w:t>
      </w:r>
      <w:r w:rsidRPr="00686018">
        <w:rPr>
          <w:rFonts w:ascii="Times New Roman" w:hAnsi="Times New Roman" w:cs="Times New Roman"/>
          <w:sz w:val="24"/>
        </w:rPr>
        <w:fldChar w:fldCharType="end"/>
      </w:r>
      <w:r w:rsidRPr="00686018">
        <w:rPr>
          <w:rFonts w:ascii="Times New Roman" w:hAnsi="Times New Roman" w:cs="Times New Roman"/>
          <w:sz w:val="24"/>
        </w:rPr>
        <w:t>, mostrada en la ecuación: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0"/>
        <w:gridCol w:w="837"/>
      </w:tblGrid>
      <w:tr w:rsidR="00DF46F4" w:rsidRPr="00686018" w:rsidTr="00DF46F4">
        <w:trPr>
          <w:trHeight w:val="583"/>
        </w:trPr>
        <w:tc>
          <w:tcPr>
            <w:tcW w:w="7650" w:type="dxa"/>
            <w:vAlign w:val="center"/>
          </w:tcPr>
          <w:p w:rsidR="00DF46F4" w:rsidRPr="00686018" w:rsidRDefault="000B7990" w:rsidP="00A31608">
            <w:pPr>
              <w:jc w:val="both"/>
              <w:rPr>
                <w:rFonts w:ascii="Times New Roman" w:hAnsi="Times New Roman" w:cs="Times New Roman"/>
                <w:sz w:val="24"/>
                <w:szCs w:val="24"/>
              </w:rPr>
            </w:pPr>
            <m:oMathPara>
              <m:oMathParaPr>
                <m:jc m:val="left"/>
              </m:oMathParaPr>
              <m:oMath>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a</m:t>
                    </m:r>
                  </m:sub>
                </m:sSub>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b</m:t>
                    </m:r>
                  </m:sub>
                </m:sSub>
                <m:sSub>
                  <m:sSubPr>
                    <m:ctrlPr>
                      <w:rPr>
                        <w:rFonts w:ascii="Cambria Math" w:hAnsi="Cambria Math" w:cs="Times New Roman"/>
                        <w:sz w:val="24"/>
                        <w:szCs w:val="24"/>
                      </w:rPr>
                    </m:ctrlPr>
                  </m:sSubPr>
                  <m:e>
                    <m:r>
                      <w:rPr>
                        <w:rFonts w:ascii="Cambria Math" w:hAnsi="Cambria Math" w:cs="Times New Roman"/>
                        <w:sz w:val="24"/>
                        <w:szCs w:val="24"/>
                      </w:rPr>
                      <m:t>O</m:t>
                    </m:r>
                  </m:e>
                  <m:sub>
                    <m:r>
                      <w:rPr>
                        <w:rFonts w:ascii="Cambria Math" w:hAnsi="Cambria Math" w:cs="Times New Roman"/>
                        <w:sz w:val="24"/>
                        <w:szCs w:val="24"/>
                      </w:rPr>
                      <m:t>c</m:t>
                    </m:r>
                  </m:sub>
                </m:s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d</m:t>
                    </m:r>
                  </m:sub>
                </m:sSub>
                <m:r>
                  <m:rPr>
                    <m:sty m:val="p"/>
                  </m:rPr>
                  <w:rPr>
                    <w:rFonts w:ascii="Cambria Math" w:eastAsiaTheme="minorEastAsia" w:hAnsi="Cambria Math" w:cs="Times New Roman"/>
                    <w:sz w:val="24"/>
                    <w:szCs w:val="24"/>
                  </w:rPr>
                  <m:t>+</m:t>
                </m:r>
                <m:d>
                  <m:dPr>
                    <m:ctrlPr>
                      <w:rPr>
                        <w:rFonts w:ascii="Cambria Math" w:eastAsiaTheme="minorEastAsia" w:hAnsi="Cambria Math" w:cs="Times New Roman"/>
                        <w:sz w:val="24"/>
                        <w:szCs w:val="24"/>
                      </w:rPr>
                    </m:ctrlPr>
                  </m:dPr>
                  <m:e>
                    <m:r>
                      <w:rPr>
                        <w:rFonts w:ascii="Cambria Math" w:eastAsiaTheme="minorEastAsia" w:hAnsi="Cambria Math" w:cs="Times New Roman"/>
                        <w:sz w:val="24"/>
                        <w:szCs w:val="24"/>
                      </w:rPr>
                      <m:t>a</m:t>
                    </m:r>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b</m:t>
                        </m:r>
                      </m:num>
                      <m:den>
                        <m:r>
                          <m:rPr>
                            <m:sty m:val="p"/>
                          </m:rPr>
                          <w:rPr>
                            <w:rFonts w:ascii="Cambria Math" w:eastAsiaTheme="minorEastAsia" w:hAnsi="Cambria Math" w:cs="Times New Roman"/>
                            <w:sz w:val="24"/>
                            <w:szCs w:val="24"/>
                          </w:rPr>
                          <m:t>4</m:t>
                        </m:r>
                      </m:den>
                    </m:f>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c</m:t>
                        </m:r>
                      </m:num>
                      <m:den>
                        <m:r>
                          <m:rPr>
                            <m:sty m:val="p"/>
                          </m:rPr>
                          <w:rPr>
                            <w:rFonts w:ascii="Cambria Math" w:eastAsiaTheme="minorEastAsia" w:hAnsi="Cambria Math" w:cs="Times New Roman"/>
                            <w:sz w:val="24"/>
                            <w:szCs w:val="24"/>
                          </w:rPr>
                          <m:t>2</m:t>
                        </m:r>
                      </m:den>
                    </m:f>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3</m:t>
                        </m:r>
                        <m:r>
                          <w:rPr>
                            <w:rFonts w:ascii="Cambria Math" w:eastAsiaTheme="minorEastAsia" w:hAnsi="Cambria Math" w:cs="Times New Roman"/>
                            <w:sz w:val="24"/>
                            <w:szCs w:val="24"/>
                          </w:rPr>
                          <m:t>d</m:t>
                        </m:r>
                      </m:num>
                      <m:den>
                        <m:r>
                          <m:rPr>
                            <m:sty m:val="p"/>
                          </m:rPr>
                          <w:rPr>
                            <w:rFonts w:ascii="Cambria Math" w:eastAsiaTheme="minorEastAsia" w:hAnsi="Cambria Math" w:cs="Times New Roman"/>
                            <w:sz w:val="24"/>
                            <w:szCs w:val="24"/>
                          </w:rPr>
                          <m:t>4</m:t>
                        </m:r>
                      </m:den>
                    </m:f>
                  </m:e>
                </m:d>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H</m:t>
                    </m:r>
                  </m:e>
                  <m:sub>
                    <m:r>
                      <m:rPr>
                        <m:sty m:val="p"/>
                      </m:rP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O</m:t>
                </m:r>
                <m:r>
                  <m:rPr>
                    <m:sty m:val="p"/>
                  </m:rPr>
                  <w:rPr>
                    <w:rFonts w:ascii="Cambria Math" w:eastAsiaTheme="minorEastAsia" w:hAnsi="Cambria Math" w:cs="Times New Roman"/>
                    <w:sz w:val="24"/>
                    <w:szCs w:val="24"/>
                  </w:rPr>
                  <m:t>→</m:t>
                </m:r>
                <m:d>
                  <m:dPr>
                    <m:ctrlPr>
                      <w:rPr>
                        <w:rFonts w:ascii="Cambria Math" w:eastAsiaTheme="minorEastAsia" w:hAnsi="Cambria Math" w:cs="Times New Roman"/>
                        <w:sz w:val="24"/>
                        <w:szCs w:val="24"/>
                      </w:rPr>
                    </m:ctrlPr>
                  </m:dPr>
                  <m:e>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a</m:t>
                        </m:r>
                      </m:num>
                      <m:den>
                        <m:r>
                          <m:rPr>
                            <m:sty m:val="p"/>
                          </m:rPr>
                          <w:rPr>
                            <w:rFonts w:ascii="Cambria Math" w:eastAsiaTheme="minorEastAsia" w:hAnsi="Cambria Math" w:cs="Times New Roman"/>
                            <w:sz w:val="24"/>
                            <w:szCs w:val="24"/>
                          </w:rPr>
                          <m:t>2</m:t>
                        </m:r>
                      </m:den>
                    </m:f>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b</m:t>
                        </m:r>
                      </m:num>
                      <m:den>
                        <m:r>
                          <m:rPr>
                            <m:sty m:val="p"/>
                          </m:rPr>
                          <w:rPr>
                            <w:rFonts w:ascii="Cambria Math" w:eastAsiaTheme="minorEastAsia" w:hAnsi="Cambria Math" w:cs="Times New Roman"/>
                            <w:sz w:val="24"/>
                            <w:szCs w:val="24"/>
                          </w:rPr>
                          <m:t>8</m:t>
                        </m:r>
                      </m:den>
                    </m:f>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c</m:t>
                        </m:r>
                      </m:num>
                      <m:den>
                        <m:r>
                          <m:rPr>
                            <m:sty m:val="p"/>
                          </m:rPr>
                          <w:rPr>
                            <w:rFonts w:ascii="Cambria Math" w:eastAsiaTheme="minorEastAsia" w:hAnsi="Cambria Math" w:cs="Times New Roman"/>
                            <w:sz w:val="24"/>
                            <w:szCs w:val="24"/>
                          </w:rPr>
                          <m:t>4</m:t>
                        </m:r>
                      </m:den>
                    </m:f>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3</m:t>
                        </m:r>
                        <m:r>
                          <w:rPr>
                            <w:rFonts w:ascii="Cambria Math" w:eastAsiaTheme="minorEastAsia" w:hAnsi="Cambria Math" w:cs="Times New Roman"/>
                            <w:sz w:val="24"/>
                            <w:szCs w:val="24"/>
                          </w:rPr>
                          <m:t>d</m:t>
                        </m:r>
                      </m:num>
                      <m:den>
                        <m:r>
                          <m:rPr>
                            <m:sty m:val="p"/>
                          </m:rPr>
                          <w:rPr>
                            <w:rFonts w:ascii="Cambria Math" w:eastAsiaTheme="minorEastAsia" w:hAnsi="Cambria Math" w:cs="Times New Roman"/>
                            <w:sz w:val="24"/>
                            <w:szCs w:val="24"/>
                          </w:rPr>
                          <m:t>8</m:t>
                        </m:r>
                      </m:den>
                    </m:f>
                  </m:e>
                </m:d>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CH</m:t>
                    </m:r>
                  </m:e>
                  <m:sub>
                    <m:r>
                      <m:rPr>
                        <m:sty m:val="p"/>
                      </m:rPr>
                      <w:rPr>
                        <w:rFonts w:ascii="Cambria Math" w:eastAsiaTheme="minorEastAsia" w:hAnsi="Cambria Math" w:cs="Times New Roman"/>
                        <w:sz w:val="24"/>
                        <w:szCs w:val="24"/>
                      </w:rPr>
                      <m:t>4</m:t>
                    </m:r>
                  </m:sub>
                </m:sSub>
                <m:r>
                  <m:rPr>
                    <m:sty m:val="p"/>
                  </m:rPr>
                  <w:rPr>
                    <w:rFonts w:ascii="Cambria Math" w:eastAsiaTheme="minorEastAsia" w:hAnsi="Cambria Math" w:cs="Times New Roman"/>
                    <w:sz w:val="24"/>
                    <w:szCs w:val="24"/>
                  </w:rPr>
                  <m:t>+</m:t>
                </m:r>
                <m:d>
                  <m:dPr>
                    <m:ctrlPr>
                      <w:rPr>
                        <w:rFonts w:ascii="Cambria Math" w:eastAsiaTheme="minorEastAsia" w:hAnsi="Cambria Math" w:cs="Times New Roman"/>
                        <w:sz w:val="24"/>
                        <w:szCs w:val="24"/>
                      </w:rPr>
                    </m:ctrlPr>
                  </m:dPr>
                  <m:e>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a</m:t>
                        </m:r>
                      </m:num>
                      <m:den>
                        <m:r>
                          <m:rPr>
                            <m:sty m:val="p"/>
                          </m:rPr>
                          <w:rPr>
                            <w:rFonts w:ascii="Cambria Math" w:eastAsiaTheme="minorEastAsia" w:hAnsi="Cambria Math" w:cs="Times New Roman"/>
                            <w:sz w:val="24"/>
                            <w:szCs w:val="24"/>
                          </w:rPr>
                          <m:t>2</m:t>
                        </m:r>
                      </m:den>
                    </m:f>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b</m:t>
                        </m:r>
                      </m:num>
                      <m:den>
                        <m:r>
                          <m:rPr>
                            <m:sty m:val="p"/>
                          </m:rPr>
                          <w:rPr>
                            <w:rFonts w:ascii="Cambria Math" w:eastAsiaTheme="minorEastAsia" w:hAnsi="Cambria Math" w:cs="Times New Roman"/>
                            <w:sz w:val="24"/>
                            <w:szCs w:val="24"/>
                          </w:rPr>
                          <m:t>8</m:t>
                        </m:r>
                      </m:den>
                    </m:f>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c</m:t>
                        </m:r>
                      </m:num>
                      <m:den>
                        <m:r>
                          <m:rPr>
                            <m:sty m:val="p"/>
                          </m:rPr>
                          <w:rPr>
                            <w:rFonts w:ascii="Cambria Math" w:eastAsiaTheme="minorEastAsia" w:hAnsi="Cambria Math" w:cs="Times New Roman"/>
                            <w:sz w:val="24"/>
                            <w:szCs w:val="24"/>
                          </w:rPr>
                          <m:t>4</m:t>
                        </m:r>
                      </m:den>
                    </m:f>
                    <m:r>
                      <m:rPr>
                        <m:sty m:val="p"/>
                      </m:rP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3</m:t>
                        </m:r>
                        <m:r>
                          <w:rPr>
                            <w:rFonts w:ascii="Cambria Math" w:eastAsiaTheme="minorEastAsia" w:hAnsi="Cambria Math" w:cs="Times New Roman"/>
                            <w:sz w:val="24"/>
                            <w:szCs w:val="24"/>
                          </w:rPr>
                          <m:t>d</m:t>
                        </m:r>
                      </m:num>
                      <m:den>
                        <m:r>
                          <m:rPr>
                            <m:sty m:val="p"/>
                          </m:rPr>
                          <w:rPr>
                            <w:rFonts w:ascii="Cambria Math" w:eastAsiaTheme="minorEastAsia" w:hAnsi="Cambria Math" w:cs="Times New Roman"/>
                            <w:sz w:val="24"/>
                            <w:szCs w:val="24"/>
                          </w:rPr>
                          <m:t>8</m:t>
                        </m:r>
                      </m:den>
                    </m:f>
                  </m:e>
                </m:d>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CO</m:t>
                    </m:r>
                  </m:e>
                  <m:sub>
                    <m:r>
                      <m:rPr>
                        <m:sty m:val="p"/>
                      </m:rPr>
                      <w:rPr>
                        <w:rFonts w:ascii="Cambria Math" w:eastAsiaTheme="minorEastAsia" w:hAnsi="Cambria Math" w:cs="Times New Roman"/>
                        <w:sz w:val="24"/>
                        <w:szCs w:val="24"/>
                      </w:rPr>
                      <m:t>2</m:t>
                    </m:r>
                  </m:sub>
                </m:sSub>
                <m:r>
                  <m:rPr>
                    <m:sty m:val="p"/>
                  </m:rPr>
                  <w:rPr>
                    <w:rFonts w:ascii="Cambria Math" w:eastAsiaTheme="minorEastAsia" w:hAnsi="Cambria Math" w:cs="Times New Roman"/>
                    <w:sz w:val="24"/>
                    <w:szCs w:val="24"/>
                  </w:rPr>
                  <m:t>+</m:t>
                </m:r>
                <m:r>
                  <w:rPr>
                    <w:rFonts w:ascii="Cambria Math" w:eastAsiaTheme="minorEastAsia" w:hAnsi="Cambria Math" w:cs="Times New Roman"/>
                    <w:sz w:val="24"/>
                    <w:szCs w:val="24"/>
                  </w:rPr>
                  <m:t>d</m:t>
                </m:r>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NH</m:t>
                    </m:r>
                  </m:e>
                  <m:sub>
                    <m:r>
                      <m:rPr>
                        <m:sty m:val="p"/>
                      </m:rPr>
                      <w:rPr>
                        <w:rFonts w:ascii="Cambria Math" w:eastAsiaTheme="minorEastAsia" w:hAnsi="Cambria Math" w:cs="Times New Roman"/>
                        <w:sz w:val="24"/>
                        <w:szCs w:val="24"/>
                      </w:rPr>
                      <m:t>3</m:t>
                    </m:r>
                  </m:sub>
                </m:sSub>
              </m:oMath>
            </m:oMathPara>
          </w:p>
        </w:tc>
        <w:tc>
          <w:tcPr>
            <w:tcW w:w="844" w:type="dxa"/>
            <w:vAlign w:val="center"/>
          </w:tcPr>
          <w:p w:rsidR="00DF46F4" w:rsidRPr="00686018" w:rsidRDefault="00DF46F4" w:rsidP="00A31608">
            <w:pPr>
              <w:pStyle w:val="Descripcin"/>
              <w:spacing w:after="100"/>
              <w:ind w:firstLine="142"/>
              <w:jc w:val="both"/>
              <w:rPr>
                <w:rFonts w:ascii="Times New Roman" w:hAnsi="Times New Roman" w:cs="Times New Roman"/>
                <w:b/>
                <w:i w:val="0"/>
                <w:color w:val="auto"/>
                <w:sz w:val="24"/>
                <w:szCs w:val="24"/>
              </w:rPr>
            </w:pPr>
            <w:r w:rsidRPr="00686018">
              <w:rPr>
                <w:rFonts w:ascii="Times New Roman" w:hAnsi="Times New Roman" w:cs="Times New Roman"/>
                <w:b/>
                <w:i w:val="0"/>
                <w:color w:val="auto"/>
                <w:sz w:val="24"/>
                <w:szCs w:val="24"/>
              </w:rPr>
              <w:t>(</w:t>
            </w:r>
            <w:r w:rsidRPr="00686018">
              <w:rPr>
                <w:rFonts w:ascii="Times New Roman" w:hAnsi="Times New Roman" w:cs="Times New Roman"/>
                <w:b/>
                <w:i w:val="0"/>
                <w:color w:val="auto"/>
                <w:sz w:val="24"/>
                <w:szCs w:val="24"/>
              </w:rPr>
              <w:fldChar w:fldCharType="begin"/>
            </w:r>
            <w:r w:rsidRPr="00686018">
              <w:rPr>
                <w:rFonts w:ascii="Times New Roman" w:hAnsi="Times New Roman" w:cs="Times New Roman"/>
                <w:b/>
                <w:i w:val="0"/>
                <w:color w:val="auto"/>
                <w:sz w:val="24"/>
                <w:szCs w:val="24"/>
              </w:rPr>
              <w:instrText xml:space="preserve"> SEQ ( \* ARABIC </w:instrText>
            </w:r>
            <w:r w:rsidRPr="00686018">
              <w:rPr>
                <w:rFonts w:ascii="Times New Roman" w:hAnsi="Times New Roman" w:cs="Times New Roman"/>
                <w:b/>
                <w:i w:val="0"/>
                <w:color w:val="auto"/>
                <w:sz w:val="24"/>
                <w:szCs w:val="24"/>
              </w:rPr>
              <w:fldChar w:fldCharType="separate"/>
            </w:r>
            <w:r w:rsidR="00DD0237" w:rsidRPr="00686018">
              <w:rPr>
                <w:rFonts w:ascii="Times New Roman" w:hAnsi="Times New Roman" w:cs="Times New Roman"/>
                <w:b/>
                <w:i w:val="0"/>
                <w:noProof/>
                <w:color w:val="auto"/>
                <w:sz w:val="24"/>
                <w:szCs w:val="24"/>
              </w:rPr>
              <w:t>18</w:t>
            </w:r>
            <w:r w:rsidRPr="00686018">
              <w:rPr>
                <w:rFonts w:ascii="Times New Roman" w:hAnsi="Times New Roman" w:cs="Times New Roman"/>
                <w:b/>
                <w:i w:val="0"/>
                <w:color w:val="auto"/>
                <w:sz w:val="24"/>
                <w:szCs w:val="24"/>
              </w:rPr>
              <w:fldChar w:fldCharType="end"/>
            </w:r>
            <w:r w:rsidRPr="00686018">
              <w:rPr>
                <w:rFonts w:ascii="Times New Roman" w:hAnsi="Times New Roman" w:cs="Times New Roman"/>
                <w:b/>
                <w:i w:val="0"/>
                <w:color w:val="auto"/>
                <w:sz w:val="24"/>
                <w:szCs w:val="24"/>
              </w:rPr>
              <w:t>)</w:t>
            </w:r>
          </w:p>
        </w:tc>
      </w:tr>
    </w:tbl>
    <w:p w:rsidR="00DF46F4" w:rsidRPr="00686018" w:rsidRDefault="00DF46F4" w:rsidP="00A31608">
      <w:pPr>
        <w:jc w:val="both"/>
        <w:rPr>
          <w:rFonts w:ascii="Times New Roman" w:hAnsi="Times New Roman" w:cs="Times New Roman"/>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4"/>
        <w:gridCol w:w="833"/>
      </w:tblGrid>
      <w:tr w:rsidR="00DF46F4" w:rsidRPr="00686018" w:rsidTr="00DF46F4">
        <w:trPr>
          <w:trHeight w:val="583"/>
        </w:trPr>
        <w:tc>
          <w:tcPr>
            <w:tcW w:w="7650" w:type="dxa"/>
            <w:vAlign w:val="center"/>
          </w:tcPr>
          <w:p w:rsidR="00DF46F4" w:rsidRPr="00686018" w:rsidRDefault="00686018" w:rsidP="00A31608">
            <w:pPr>
              <w:jc w:val="both"/>
              <w:rPr>
                <w:rFonts w:ascii="Times New Roman" w:hAnsi="Times New Roman" w:cs="Times New Roman"/>
                <w:b/>
                <w:sz w:val="24"/>
                <w:szCs w:val="24"/>
              </w:rPr>
            </w:pPr>
            <m:oMathPara>
              <m:oMathParaPr>
                <m:jc m:val="center"/>
              </m:oMathParaPr>
              <m:oMath>
                <m:r>
                  <w:rPr>
                    <w:rFonts w:ascii="Cambria Math" w:hAnsi="Cambria Math" w:cs="Times New Roman"/>
                  </w:rPr>
                  <m:t>RMT</m:t>
                </m:r>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22.41*1000*</m:t>
                    </m:r>
                    <m:d>
                      <m:dPr>
                        <m:ctrlPr>
                          <w:rPr>
                            <w:rFonts w:ascii="Cambria Math" w:hAnsi="Cambria Math" w:cs="Times New Roman"/>
                          </w:rPr>
                        </m:ctrlPr>
                      </m:dPr>
                      <m:e>
                        <m:f>
                          <m:fPr>
                            <m:ctrlPr>
                              <w:rPr>
                                <w:rFonts w:ascii="Cambria Math" w:hAnsi="Cambria Math" w:cs="Times New Roman"/>
                              </w:rPr>
                            </m:ctrlPr>
                          </m:fPr>
                          <m:num>
                            <m:r>
                              <w:rPr>
                                <w:rFonts w:ascii="Cambria Math" w:hAnsi="Cambria Math" w:cs="Times New Roman"/>
                              </w:rPr>
                              <m:t>a</m:t>
                            </m:r>
                          </m:num>
                          <m:den>
                            <m:r>
                              <m:rPr>
                                <m:sty m:val="p"/>
                              </m:rPr>
                              <w:rPr>
                                <w:rFonts w:ascii="Cambria Math" w:hAnsi="Cambria Math" w:cs="Times New Roman"/>
                              </w:rPr>
                              <m:t>2</m:t>
                            </m:r>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b</m:t>
                            </m:r>
                          </m:num>
                          <m:den>
                            <m:r>
                              <m:rPr>
                                <m:sty m:val="p"/>
                              </m:rPr>
                              <w:rPr>
                                <w:rFonts w:ascii="Cambria Math" w:hAnsi="Cambria Math" w:cs="Times New Roman"/>
                              </w:rPr>
                              <m:t>8</m:t>
                            </m:r>
                          </m:den>
                        </m:f>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c</m:t>
                            </m:r>
                          </m:num>
                          <m:den>
                            <m:r>
                              <m:rPr>
                                <m:sty m:val="p"/>
                              </m:rPr>
                              <w:rPr>
                                <w:rFonts w:ascii="Cambria Math" w:hAnsi="Cambria Math" w:cs="Times New Roman"/>
                              </w:rPr>
                              <m:t>4</m:t>
                            </m:r>
                          </m:den>
                        </m:f>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3</m:t>
                            </m:r>
                            <m:r>
                              <w:rPr>
                                <w:rFonts w:ascii="Cambria Math" w:hAnsi="Cambria Math" w:cs="Times New Roman"/>
                              </w:rPr>
                              <m:t>d</m:t>
                            </m:r>
                          </m:num>
                          <m:den>
                            <m:r>
                              <m:rPr>
                                <m:sty m:val="p"/>
                              </m:rPr>
                              <w:rPr>
                                <w:rFonts w:ascii="Cambria Math" w:hAnsi="Cambria Math" w:cs="Times New Roman"/>
                              </w:rPr>
                              <m:t>8</m:t>
                            </m:r>
                          </m:den>
                        </m:f>
                      </m:e>
                    </m:d>
                  </m:num>
                  <m:den>
                    <m:r>
                      <m:rPr>
                        <m:sty m:val="p"/>
                      </m:rPr>
                      <w:rPr>
                        <w:rFonts w:ascii="Cambria Math" w:hAnsi="Cambria Math" w:cs="Times New Roman"/>
                      </w:rPr>
                      <m:t>12</m:t>
                    </m:r>
                    <m:r>
                      <w:rPr>
                        <w:rFonts w:ascii="Cambria Math" w:hAnsi="Cambria Math" w:cs="Times New Roman"/>
                      </w:rPr>
                      <m:t>a</m:t>
                    </m:r>
                    <m:r>
                      <m:rPr>
                        <m:sty m:val="p"/>
                      </m:rPr>
                      <w:rPr>
                        <w:rFonts w:ascii="Cambria Math" w:hAnsi="Cambria Math" w:cs="Times New Roman"/>
                      </w:rPr>
                      <m:t>+</m:t>
                    </m:r>
                    <m:r>
                      <w:rPr>
                        <w:rFonts w:ascii="Cambria Math" w:hAnsi="Cambria Math" w:cs="Times New Roman"/>
                      </w:rPr>
                      <m:t>b</m:t>
                    </m:r>
                    <m:r>
                      <m:rPr>
                        <m:sty m:val="p"/>
                      </m:rPr>
                      <w:rPr>
                        <w:rFonts w:ascii="Cambria Math" w:hAnsi="Cambria Math" w:cs="Times New Roman"/>
                      </w:rPr>
                      <m:t>+16</m:t>
                    </m:r>
                    <m:r>
                      <w:rPr>
                        <w:rFonts w:ascii="Cambria Math" w:hAnsi="Cambria Math" w:cs="Times New Roman"/>
                      </w:rPr>
                      <m:t>c</m:t>
                    </m:r>
                    <m:r>
                      <m:rPr>
                        <m:sty m:val="p"/>
                      </m:rPr>
                      <w:rPr>
                        <w:rFonts w:ascii="Cambria Math" w:hAnsi="Cambria Math" w:cs="Times New Roman"/>
                      </w:rPr>
                      <m:t>+14</m:t>
                    </m:r>
                    <m:r>
                      <w:rPr>
                        <w:rFonts w:ascii="Cambria Math" w:hAnsi="Cambria Math" w:cs="Times New Roman"/>
                      </w:rPr>
                      <m:t>c</m:t>
                    </m:r>
                  </m:den>
                </m:f>
                <m:r>
                  <m:rPr>
                    <m:sty m:val="p"/>
                  </m:rPr>
                  <w:rPr>
                    <w:rFonts w:ascii="Cambria Math" w:hAnsi="Cambria Math" w:cs="Times New Roman"/>
                  </w:rPr>
                  <m:t>*</m:t>
                </m:r>
                <m:d>
                  <m:dPr>
                    <m:ctrlPr>
                      <w:rPr>
                        <w:rFonts w:ascii="Cambria Math" w:hAnsi="Cambria Math" w:cs="Times New Roman"/>
                      </w:rPr>
                    </m:ctrlPr>
                  </m:dPr>
                  <m:e>
                    <m:r>
                      <m:rPr>
                        <m:sty m:val="p"/>
                      </m:rPr>
                      <w:rPr>
                        <w:rFonts w:ascii="Cambria Math" w:hAnsi="Cambria Math" w:cs="Times New Roman"/>
                      </w:rPr>
                      <m:t>1-%</m:t>
                    </m:r>
                    <m:r>
                      <w:rPr>
                        <w:rFonts w:ascii="Cambria Math" w:hAnsi="Cambria Math" w:cs="Times New Roman"/>
                      </w:rPr>
                      <m:t>cenizas</m:t>
                    </m:r>
                  </m:e>
                </m:d>
              </m:oMath>
            </m:oMathPara>
          </w:p>
        </w:tc>
        <w:tc>
          <w:tcPr>
            <w:tcW w:w="844" w:type="dxa"/>
            <w:vAlign w:val="center"/>
          </w:tcPr>
          <w:p w:rsidR="00DF46F4" w:rsidRPr="00686018" w:rsidRDefault="00DF46F4" w:rsidP="00A31608">
            <w:pPr>
              <w:pStyle w:val="Descripcin"/>
              <w:spacing w:after="100"/>
              <w:ind w:firstLine="142"/>
              <w:jc w:val="both"/>
              <w:rPr>
                <w:rFonts w:ascii="Times New Roman" w:hAnsi="Times New Roman" w:cs="Times New Roman"/>
                <w:b/>
                <w:i w:val="0"/>
                <w:color w:val="auto"/>
                <w:sz w:val="24"/>
                <w:szCs w:val="24"/>
              </w:rPr>
            </w:pPr>
            <w:r w:rsidRPr="00686018">
              <w:rPr>
                <w:rFonts w:ascii="Times New Roman" w:hAnsi="Times New Roman" w:cs="Times New Roman"/>
                <w:b/>
                <w:i w:val="0"/>
                <w:color w:val="auto"/>
                <w:sz w:val="24"/>
                <w:szCs w:val="24"/>
              </w:rPr>
              <w:t>(</w:t>
            </w:r>
            <w:r w:rsidRPr="00686018">
              <w:rPr>
                <w:rFonts w:ascii="Times New Roman" w:hAnsi="Times New Roman" w:cs="Times New Roman"/>
                <w:b/>
                <w:i w:val="0"/>
                <w:color w:val="auto"/>
                <w:sz w:val="24"/>
                <w:szCs w:val="24"/>
              </w:rPr>
              <w:fldChar w:fldCharType="begin"/>
            </w:r>
            <w:r w:rsidRPr="00686018">
              <w:rPr>
                <w:rFonts w:ascii="Times New Roman" w:hAnsi="Times New Roman" w:cs="Times New Roman"/>
                <w:b/>
                <w:i w:val="0"/>
                <w:color w:val="auto"/>
                <w:sz w:val="24"/>
                <w:szCs w:val="24"/>
              </w:rPr>
              <w:instrText xml:space="preserve"> SEQ ( \* ARABIC </w:instrText>
            </w:r>
            <w:r w:rsidRPr="00686018">
              <w:rPr>
                <w:rFonts w:ascii="Times New Roman" w:hAnsi="Times New Roman" w:cs="Times New Roman"/>
                <w:b/>
                <w:i w:val="0"/>
                <w:color w:val="auto"/>
                <w:sz w:val="24"/>
                <w:szCs w:val="24"/>
              </w:rPr>
              <w:fldChar w:fldCharType="separate"/>
            </w:r>
            <w:r w:rsidR="00DD0237" w:rsidRPr="00686018">
              <w:rPr>
                <w:rFonts w:ascii="Times New Roman" w:hAnsi="Times New Roman" w:cs="Times New Roman"/>
                <w:b/>
                <w:i w:val="0"/>
                <w:noProof/>
                <w:color w:val="auto"/>
                <w:sz w:val="24"/>
                <w:szCs w:val="24"/>
              </w:rPr>
              <w:t>19</w:t>
            </w:r>
            <w:r w:rsidRPr="00686018">
              <w:rPr>
                <w:rFonts w:ascii="Times New Roman" w:hAnsi="Times New Roman" w:cs="Times New Roman"/>
                <w:b/>
                <w:i w:val="0"/>
                <w:color w:val="auto"/>
                <w:sz w:val="24"/>
                <w:szCs w:val="24"/>
              </w:rPr>
              <w:fldChar w:fldCharType="end"/>
            </w:r>
            <w:r w:rsidRPr="00686018">
              <w:rPr>
                <w:rFonts w:ascii="Times New Roman" w:hAnsi="Times New Roman" w:cs="Times New Roman"/>
                <w:b/>
                <w:i w:val="0"/>
                <w:color w:val="auto"/>
                <w:sz w:val="24"/>
                <w:szCs w:val="24"/>
              </w:rPr>
              <w:t>)</w:t>
            </w:r>
          </w:p>
        </w:tc>
      </w:tr>
    </w:tbl>
    <w:p w:rsidR="00DF46F4" w:rsidRPr="00686018" w:rsidRDefault="00DF46F4" w:rsidP="00A31608">
      <w:pPr>
        <w:jc w:val="both"/>
        <w:rPr>
          <w:rFonts w:ascii="Times New Roman" w:eastAsiaTheme="minorEastAsia" w:hAnsi="Times New Roman" w:cs="Times New Roman"/>
        </w:rPr>
      </w:pPr>
    </w:p>
    <w:p w:rsidR="00DF46F4" w:rsidRPr="00686018" w:rsidRDefault="00DF46F4" w:rsidP="00A31608">
      <w:pPr>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Donde, los coeficientes a, b, c y d provienen del análisis elemental y la formula empírica del sustrato y co-sustrato.</w:t>
      </w:r>
    </w:p>
    <w:p w:rsidR="00DF46F4" w:rsidRPr="00686018" w:rsidRDefault="00DF46F4" w:rsidP="00A31608">
      <w:pPr>
        <w:jc w:val="both"/>
        <w:rPr>
          <w:rFonts w:ascii="Times New Roman" w:eastAsiaTheme="minorEastAsia" w:hAnsi="Times New Roman" w:cs="Times New Roman"/>
          <w:sz w:val="24"/>
        </w:rPr>
      </w:pPr>
      <w:r w:rsidRPr="00686018">
        <w:rPr>
          <w:rFonts w:ascii="Times New Roman" w:eastAsiaTheme="minorEastAsia" w:hAnsi="Times New Roman" w:cs="Times New Roman"/>
          <w:sz w:val="24"/>
        </w:rPr>
        <w:t>La biodegradabilidad (BD)</w:t>
      </w:r>
      <w:r w:rsidRPr="00686018">
        <w:rPr>
          <w:rFonts w:ascii="Times New Roman" w:eastAsiaTheme="minorEastAsia" w:hAnsi="Times New Roman" w:cs="Times New Roman"/>
          <w:b/>
          <w:sz w:val="24"/>
        </w:rPr>
        <w:t xml:space="preserve"> </w:t>
      </w:r>
      <w:r w:rsidRPr="00686018">
        <w:rPr>
          <w:rFonts w:ascii="Times New Roman" w:eastAsiaTheme="minorEastAsia" w:hAnsi="Times New Roman" w:cs="Times New Roman"/>
          <w:sz w:val="24"/>
        </w:rPr>
        <w:t>se calcul</w:t>
      </w:r>
      <w:r w:rsidR="00DF7D54" w:rsidRPr="00686018">
        <w:rPr>
          <w:rFonts w:ascii="Times New Roman" w:eastAsiaTheme="minorEastAsia" w:hAnsi="Times New Roman" w:cs="Times New Roman"/>
          <w:sz w:val="24"/>
        </w:rPr>
        <w:t xml:space="preserve">ó </w:t>
      </w:r>
      <w:r w:rsidRPr="00686018">
        <w:rPr>
          <w:rFonts w:ascii="Times New Roman" w:eastAsiaTheme="minorEastAsia" w:hAnsi="Times New Roman" w:cs="Times New Roman"/>
          <w:sz w:val="24"/>
        </w:rPr>
        <w:t>a partir del rendimiento de metano acumulado más alto (rendimi</w:t>
      </w:r>
      <w:r w:rsidR="00752406" w:rsidRPr="00686018">
        <w:rPr>
          <w:rFonts w:ascii="Times New Roman" w:eastAsiaTheme="minorEastAsia" w:hAnsi="Times New Roman" w:cs="Times New Roman"/>
          <w:sz w:val="24"/>
        </w:rPr>
        <w:t>ento de metano experimental, RME</w:t>
      </w:r>
      <w:r w:rsidRPr="00686018">
        <w:rPr>
          <w:rFonts w:ascii="Times New Roman" w:eastAsiaTheme="minorEastAsia" w:hAnsi="Times New Roman" w:cs="Times New Roman"/>
          <w:sz w:val="24"/>
        </w:rPr>
        <w:t>) dividido para el rendimiento de metano máximo teórico (</w:t>
      </w:r>
      <w:r w:rsidR="00752406" w:rsidRPr="00686018">
        <w:rPr>
          <w:rFonts w:ascii="Times New Roman" w:eastAsiaTheme="minorEastAsia" w:hAnsi="Times New Roman" w:cs="Times New Roman"/>
          <w:sz w:val="24"/>
        </w:rPr>
        <w:t>RMT</w:t>
      </w:r>
      <w:r w:rsidRPr="00686018">
        <w:rPr>
          <w:rFonts w:ascii="Times New Roman" w:eastAsiaTheme="minorEastAsia" w:hAnsi="Times New Roman" w:cs="Times New Roman"/>
          <w:sz w:val="24"/>
        </w:rPr>
        <w:t>), mostrada en la ecuación: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0"/>
        <w:gridCol w:w="837"/>
      </w:tblGrid>
      <w:tr w:rsidR="00DF46F4" w:rsidRPr="00686018" w:rsidTr="00DF46F4">
        <w:trPr>
          <w:trHeight w:val="583"/>
        </w:trPr>
        <w:tc>
          <w:tcPr>
            <w:tcW w:w="7650" w:type="dxa"/>
            <w:vAlign w:val="center"/>
          </w:tcPr>
          <w:p w:rsidR="00DF46F4" w:rsidRPr="00686018" w:rsidRDefault="00686018" w:rsidP="00A31608">
            <w:pPr>
              <w:jc w:val="both"/>
              <w:rPr>
                <w:rFonts w:ascii="Times New Roman" w:hAnsi="Times New Roman" w:cs="Times New Roman"/>
                <w:b/>
                <w:sz w:val="24"/>
                <w:szCs w:val="24"/>
              </w:rPr>
            </w:pPr>
            <m:oMathPara>
              <m:oMathParaPr>
                <m:jc m:val="center"/>
              </m:oMathParaPr>
              <m:oMath>
                <m:r>
                  <w:rPr>
                    <w:rFonts w:ascii="Cambria Math" w:hAnsi="Cambria Math" w:cs="Times New Roman"/>
                  </w:rPr>
                  <m:t>BD</m:t>
                </m:r>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RME</m:t>
                    </m:r>
                  </m:num>
                  <m:den>
                    <m:r>
                      <w:rPr>
                        <w:rFonts w:ascii="Cambria Math" w:hAnsi="Cambria Math" w:cs="Times New Roman"/>
                      </w:rPr>
                      <m:t>RMT</m:t>
                    </m:r>
                  </m:den>
                </m:f>
                <m:r>
                  <m:rPr>
                    <m:sty m:val="p"/>
                  </m:rPr>
                  <w:rPr>
                    <w:rFonts w:ascii="Cambria Math" w:hAnsi="Cambria Math" w:cs="Times New Roman"/>
                  </w:rPr>
                  <m:t>*100%</m:t>
                </m:r>
              </m:oMath>
            </m:oMathPara>
          </w:p>
        </w:tc>
        <w:tc>
          <w:tcPr>
            <w:tcW w:w="844" w:type="dxa"/>
            <w:vAlign w:val="center"/>
          </w:tcPr>
          <w:p w:rsidR="00DF46F4" w:rsidRPr="00686018" w:rsidRDefault="00DF46F4" w:rsidP="00A31608">
            <w:pPr>
              <w:pStyle w:val="Descripcin"/>
              <w:spacing w:after="100"/>
              <w:ind w:firstLine="142"/>
              <w:jc w:val="both"/>
              <w:rPr>
                <w:rFonts w:ascii="Times New Roman" w:hAnsi="Times New Roman" w:cs="Times New Roman"/>
                <w:b/>
                <w:i w:val="0"/>
                <w:color w:val="auto"/>
                <w:sz w:val="24"/>
                <w:szCs w:val="24"/>
              </w:rPr>
            </w:pPr>
            <w:r w:rsidRPr="00686018">
              <w:rPr>
                <w:rFonts w:ascii="Times New Roman" w:hAnsi="Times New Roman" w:cs="Times New Roman"/>
                <w:b/>
                <w:i w:val="0"/>
                <w:color w:val="auto"/>
                <w:sz w:val="24"/>
                <w:szCs w:val="24"/>
              </w:rPr>
              <w:t>(</w:t>
            </w:r>
            <w:r w:rsidRPr="00686018">
              <w:rPr>
                <w:rFonts w:ascii="Times New Roman" w:hAnsi="Times New Roman" w:cs="Times New Roman"/>
                <w:b/>
                <w:i w:val="0"/>
                <w:color w:val="auto"/>
                <w:sz w:val="24"/>
                <w:szCs w:val="24"/>
              </w:rPr>
              <w:fldChar w:fldCharType="begin"/>
            </w:r>
            <w:r w:rsidRPr="00686018">
              <w:rPr>
                <w:rFonts w:ascii="Times New Roman" w:hAnsi="Times New Roman" w:cs="Times New Roman"/>
                <w:b/>
                <w:i w:val="0"/>
                <w:color w:val="auto"/>
                <w:sz w:val="24"/>
                <w:szCs w:val="24"/>
              </w:rPr>
              <w:instrText xml:space="preserve"> SEQ ( \* ARABIC </w:instrText>
            </w:r>
            <w:r w:rsidRPr="00686018">
              <w:rPr>
                <w:rFonts w:ascii="Times New Roman" w:hAnsi="Times New Roman" w:cs="Times New Roman"/>
                <w:b/>
                <w:i w:val="0"/>
                <w:color w:val="auto"/>
                <w:sz w:val="24"/>
                <w:szCs w:val="24"/>
              </w:rPr>
              <w:fldChar w:fldCharType="separate"/>
            </w:r>
            <w:r w:rsidR="00DD0237" w:rsidRPr="00686018">
              <w:rPr>
                <w:rFonts w:ascii="Times New Roman" w:hAnsi="Times New Roman" w:cs="Times New Roman"/>
                <w:b/>
                <w:i w:val="0"/>
                <w:noProof/>
                <w:color w:val="auto"/>
                <w:sz w:val="24"/>
                <w:szCs w:val="24"/>
              </w:rPr>
              <w:t>20</w:t>
            </w:r>
            <w:r w:rsidRPr="00686018">
              <w:rPr>
                <w:rFonts w:ascii="Times New Roman" w:hAnsi="Times New Roman" w:cs="Times New Roman"/>
                <w:b/>
                <w:i w:val="0"/>
                <w:color w:val="auto"/>
                <w:sz w:val="24"/>
                <w:szCs w:val="24"/>
              </w:rPr>
              <w:fldChar w:fldCharType="end"/>
            </w:r>
            <w:r w:rsidRPr="00686018">
              <w:rPr>
                <w:rFonts w:ascii="Times New Roman" w:hAnsi="Times New Roman" w:cs="Times New Roman"/>
                <w:b/>
                <w:i w:val="0"/>
                <w:color w:val="auto"/>
                <w:sz w:val="24"/>
                <w:szCs w:val="24"/>
              </w:rPr>
              <w:t>)</w:t>
            </w:r>
          </w:p>
        </w:tc>
      </w:tr>
    </w:tbl>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214" w:name="_Toc9537838"/>
      <w:r w:rsidRPr="00686018">
        <w:rPr>
          <w:rFonts w:ascii="Times New Roman" w:hAnsi="Times New Roman" w:cs="Times New Roman"/>
          <w:i w:val="0"/>
        </w:rPr>
        <w:t>Índice de efecto sinérgico</w:t>
      </w:r>
      <w:bookmarkEnd w:id="214"/>
    </w:p>
    <w:p w:rsidR="00DF46F4" w:rsidRPr="00686018" w:rsidRDefault="00DF46F4" w:rsidP="00A31608">
      <w:pPr>
        <w:jc w:val="both"/>
        <w:rPr>
          <w:rFonts w:ascii="Times New Roman" w:hAnsi="Times New Roman" w:cs="Times New Roman"/>
          <w:sz w:val="24"/>
        </w:rPr>
      </w:pPr>
      <w:r w:rsidRPr="00686018">
        <w:rPr>
          <w:rFonts w:ascii="Times New Roman" w:hAnsi="Times New Roman" w:cs="Times New Roman"/>
          <w:sz w:val="24"/>
        </w:rPr>
        <w:t>El índice de efecto sinérgico (SEI) para la codigestión anaerobia se calcul</w:t>
      </w:r>
      <w:r w:rsidR="00DF7D54" w:rsidRPr="00686018">
        <w:rPr>
          <w:rFonts w:ascii="Times New Roman" w:hAnsi="Times New Roman" w:cs="Times New Roman"/>
          <w:sz w:val="24"/>
        </w:rPr>
        <w:t xml:space="preserve">ó </w:t>
      </w:r>
      <w:r w:rsidRPr="00686018">
        <w:rPr>
          <w:rFonts w:ascii="Times New Roman" w:hAnsi="Times New Roman" w:cs="Times New Roman"/>
          <w:sz w:val="24"/>
        </w:rPr>
        <w:t>empleando la siguiente ecuación: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4"/>
        <w:gridCol w:w="823"/>
      </w:tblGrid>
      <w:tr w:rsidR="00DF46F4" w:rsidRPr="00686018" w:rsidTr="00DF46F4">
        <w:trPr>
          <w:trHeight w:val="583"/>
        </w:trPr>
        <w:tc>
          <w:tcPr>
            <w:tcW w:w="7650" w:type="dxa"/>
            <w:vAlign w:val="center"/>
          </w:tcPr>
          <w:p w:rsidR="00DF46F4" w:rsidRPr="00686018" w:rsidRDefault="00686018" w:rsidP="00A31608">
            <w:pPr>
              <w:jc w:val="both"/>
              <w:rPr>
                <w:rFonts w:ascii="Times New Roman" w:hAnsi="Times New Roman" w:cs="Times New Roman"/>
                <w:b/>
                <w:sz w:val="24"/>
                <w:szCs w:val="24"/>
              </w:rPr>
            </w:pPr>
            <m:oMathPara>
              <m:oMathParaPr>
                <m:jc m:val="center"/>
              </m:oMathParaPr>
              <m:oMath>
                <m:r>
                  <m:rPr>
                    <m:sty m:val="b"/>
                  </m:rPr>
                  <w:rPr>
                    <w:rFonts w:ascii="Cambria Math" w:hAnsi="Cambria Math" w:cs="Times New Roman"/>
                  </w:rPr>
                  <m:t>SEI</m:t>
                </m:r>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RME</m:t>
                        </m:r>
                      </m:e>
                      <m:sub>
                        <m:r>
                          <m:rPr>
                            <m:sty m:val="p"/>
                          </m:rPr>
                          <w:rPr>
                            <w:rFonts w:ascii="Cambria Math" w:hAnsi="Cambria Math" w:cs="Times New Roman"/>
                          </w:rPr>
                          <m:t>co</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X</m:t>
                        </m:r>
                      </m:e>
                      <m:sub>
                        <m:r>
                          <m:rPr>
                            <m:sty m:val="p"/>
                          </m:rPr>
                          <w:rPr>
                            <w:rFonts w:ascii="Cambria Math" w:hAnsi="Cambria Math" w:cs="Times New Roman"/>
                          </w:rPr>
                          <m:t>1</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RME</m:t>
                        </m:r>
                      </m:e>
                      <m:sub>
                        <m:r>
                          <m:rPr>
                            <m:sty m:val="p"/>
                          </m:rPr>
                          <w:rPr>
                            <w:rFonts w:ascii="Cambria Math" w:hAnsi="Cambria Math" w:cs="Times New Roman"/>
                          </w:rPr>
                          <m:t>1</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X</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RME</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X</m:t>
                        </m:r>
                      </m:e>
                      <m:sub>
                        <m:r>
                          <m:rPr>
                            <m:sty m:val="p"/>
                          </m:rPr>
                          <w:rPr>
                            <w:rFonts w:ascii="Cambria Math" w:hAnsi="Cambria Math" w:cs="Times New Roman"/>
                          </w:rPr>
                          <m:t>n</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RME</m:t>
                        </m:r>
                      </m:e>
                      <m:sub>
                        <m:r>
                          <m:rPr>
                            <m:sty m:val="p"/>
                          </m:rPr>
                          <w:rPr>
                            <w:rFonts w:ascii="Cambria Math" w:hAnsi="Cambria Math" w:cs="Times New Roman"/>
                          </w:rPr>
                          <m:t>n</m:t>
                        </m:r>
                      </m:sub>
                    </m:sSub>
                    <m:r>
                      <m:rPr>
                        <m:sty m:val="p"/>
                      </m:rPr>
                      <w:rPr>
                        <w:rFonts w:ascii="Cambria Math" w:hAnsi="Cambria Math" w:cs="Times New Roman"/>
                      </w:rPr>
                      <m:t>)</m:t>
                    </m:r>
                  </m:num>
                  <m:den>
                    <m:sSub>
                      <m:sSubPr>
                        <m:ctrlPr>
                          <w:rPr>
                            <w:rFonts w:ascii="Cambria Math" w:hAnsi="Cambria Math" w:cs="Times New Roman"/>
                          </w:rPr>
                        </m:ctrlPr>
                      </m:sSubPr>
                      <m:e>
                        <m:r>
                          <m:rPr>
                            <m:sty m:val="p"/>
                          </m:rPr>
                          <w:rPr>
                            <w:rFonts w:ascii="Cambria Math" w:hAnsi="Cambria Math" w:cs="Times New Roman"/>
                          </w:rPr>
                          <m:t>X</m:t>
                        </m:r>
                      </m:e>
                      <m:sub>
                        <m:r>
                          <m:rPr>
                            <m:sty m:val="p"/>
                          </m:rPr>
                          <w:rPr>
                            <w:rFonts w:ascii="Cambria Math" w:hAnsi="Cambria Math" w:cs="Times New Roman"/>
                          </w:rPr>
                          <m:t>1</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RME</m:t>
                        </m:r>
                      </m:e>
                      <m:sub>
                        <m:r>
                          <m:rPr>
                            <m:sty m:val="p"/>
                          </m:rPr>
                          <w:rPr>
                            <w:rFonts w:ascii="Cambria Math" w:hAnsi="Cambria Math" w:cs="Times New Roman"/>
                          </w:rPr>
                          <m:t>1</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X</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RME</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X</m:t>
                        </m:r>
                      </m:e>
                      <m:sub>
                        <m:r>
                          <m:rPr>
                            <m:sty m:val="p"/>
                          </m:rPr>
                          <w:rPr>
                            <w:rFonts w:ascii="Cambria Math" w:hAnsi="Cambria Math" w:cs="Times New Roman"/>
                          </w:rPr>
                          <m:t>n</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RME</m:t>
                        </m:r>
                      </m:e>
                      <m:sub>
                        <m:r>
                          <m:rPr>
                            <m:sty m:val="p"/>
                          </m:rPr>
                          <w:rPr>
                            <w:rFonts w:ascii="Cambria Math" w:hAnsi="Cambria Math" w:cs="Times New Roman"/>
                          </w:rPr>
                          <m:t>n</m:t>
                        </m:r>
                      </m:sub>
                    </m:sSub>
                  </m:den>
                </m:f>
                <m:r>
                  <m:rPr>
                    <m:sty m:val="p"/>
                  </m:rPr>
                  <w:rPr>
                    <w:rFonts w:ascii="Cambria Math" w:hAnsi="Cambria Math" w:cs="Times New Roman"/>
                  </w:rPr>
                  <m:t>*100%</m:t>
                </m:r>
              </m:oMath>
            </m:oMathPara>
          </w:p>
        </w:tc>
        <w:tc>
          <w:tcPr>
            <w:tcW w:w="844" w:type="dxa"/>
            <w:vAlign w:val="center"/>
          </w:tcPr>
          <w:p w:rsidR="00DF46F4" w:rsidRPr="00686018" w:rsidRDefault="00DF46F4" w:rsidP="00A31608">
            <w:pPr>
              <w:pStyle w:val="Descripcin"/>
              <w:spacing w:after="100"/>
              <w:ind w:firstLine="142"/>
              <w:jc w:val="both"/>
              <w:rPr>
                <w:rFonts w:ascii="Times New Roman" w:hAnsi="Times New Roman" w:cs="Times New Roman"/>
                <w:b/>
                <w:i w:val="0"/>
                <w:color w:val="auto"/>
                <w:sz w:val="24"/>
                <w:szCs w:val="24"/>
              </w:rPr>
            </w:pPr>
            <w:r w:rsidRPr="00686018">
              <w:rPr>
                <w:rFonts w:ascii="Times New Roman" w:hAnsi="Times New Roman" w:cs="Times New Roman"/>
                <w:b/>
                <w:i w:val="0"/>
                <w:color w:val="auto"/>
                <w:sz w:val="24"/>
                <w:szCs w:val="24"/>
              </w:rPr>
              <w:t>(</w:t>
            </w:r>
            <w:r w:rsidRPr="00686018">
              <w:rPr>
                <w:rFonts w:ascii="Times New Roman" w:hAnsi="Times New Roman" w:cs="Times New Roman"/>
                <w:b/>
                <w:i w:val="0"/>
                <w:color w:val="auto"/>
                <w:sz w:val="24"/>
                <w:szCs w:val="24"/>
              </w:rPr>
              <w:fldChar w:fldCharType="begin"/>
            </w:r>
            <w:r w:rsidRPr="00686018">
              <w:rPr>
                <w:rFonts w:ascii="Times New Roman" w:hAnsi="Times New Roman" w:cs="Times New Roman"/>
                <w:b/>
                <w:i w:val="0"/>
                <w:color w:val="auto"/>
                <w:sz w:val="24"/>
                <w:szCs w:val="24"/>
              </w:rPr>
              <w:instrText xml:space="preserve"> SEQ ( \* ARABIC </w:instrText>
            </w:r>
            <w:r w:rsidRPr="00686018">
              <w:rPr>
                <w:rFonts w:ascii="Times New Roman" w:hAnsi="Times New Roman" w:cs="Times New Roman"/>
                <w:b/>
                <w:i w:val="0"/>
                <w:color w:val="auto"/>
                <w:sz w:val="24"/>
                <w:szCs w:val="24"/>
              </w:rPr>
              <w:fldChar w:fldCharType="separate"/>
            </w:r>
            <w:r w:rsidR="00DD0237" w:rsidRPr="00686018">
              <w:rPr>
                <w:rFonts w:ascii="Times New Roman" w:hAnsi="Times New Roman" w:cs="Times New Roman"/>
                <w:b/>
                <w:i w:val="0"/>
                <w:noProof/>
                <w:color w:val="auto"/>
                <w:sz w:val="24"/>
                <w:szCs w:val="24"/>
              </w:rPr>
              <w:t>21</w:t>
            </w:r>
            <w:r w:rsidRPr="00686018">
              <w:rPr>
                <w:rFonts w:ascii="Times New Roman" w:hAnsi="Times New Roman" w:cs="Times New Roman"/>
                <w:b/>
                <w:i w:val="0"/>
                <w:color w:val="auto"/>
                <w:sz w:val="24"/>
                <w:szCs w:val="24"/>
              </w:rPr>
              <w:fldChar w:fldCharType="end"/>
            </w:r>
            <w:r w:rsidRPr="00686018">
              <w:rPr>
                <w:rFonts w:ascii="Times New Roman" w:hAnsi="Times New Roman" w:cs="Times New Roman"/>
                <w:b/>
                <w:i w:val="0"/>
                <w:color w:val="auto"/>
                <w:sz w:val="24"/>
                <w:szCs w:val="24"/>
              </w:rPr>
              <w:t>)</w:t>
            </w:r>
          </w:p>
        </w:tc>
      </w:tr>
    </w:tbl>
    <w:p w:rsidR="00DF46F4" w:rsidRPr="00686018" w:rsidRDefault="00DF46F4" w:rsidP="00A31608">
      <w:pPr>
        <w:jc w:val="both"/>
        <w:rPr>
          <w:rFonts w:ascii="Times New Roman" w:hAnsi="Times New Roman" w:cs="Times New Roman"/>
          <w:noProof/>
          <w:sz w:val="24"/>
          <w:lang w:eastAsia="es-EC"/>
        </w:rPr>
      </w:pPr>
      <w:r w:rsidRPr="00686018">
        <w:rPr>
          <w:rFonts w:ascii="Times New Roman" w:hAnsi="Times New Roman" w:cs="Times New Roman"/>
          <w:noProof/>
          <w:sz w:val="24"/>
          <w:lang w:eastAsia="es-EC"/>
        </w:rPr>
        <w:t>Donde:</w:t>
      </w:r>
    </w:p>
    <w:p w:rsidR="00DF46F4" w:rsidRPr="00686018" w:rsidRDefault="00F56C72" w:rsidP="00A31608">
      <w:pPr>
        <w:jc w:val="both"/>
        <w:rPr>
          <w:rFonts w:ascii="Times New Roman" w:hAnsi="Times New Roman" w:cs="Times New Roman"/>
          <w:noProof/>
          <w:sz w:val="24"/>
          <w:lang w:eastAsia="es-EC"/>
        </w:rPr>
      </w:pPr>
      <w:r w:rsidRPr="00686018">
        <w:rPr>
          <w:rFonts w:ascii="Times New Roman" w:hAnsi="Times New Roman" w:cs="Times New Roman"/>
          <w:b/>
          <w:noProof/>
          <w:sz w:val="24"/>
          <w:lang w:eastAsia="es-EC"/>
        </w:rPr>
        <w:t>RME</w:t>
      </w:r>
      <w:r w:rsidR="00DF46F4" w:rsidRPr="00686018">
        <w:rPr>
          <w:rFonts w:ascii="Times New Roman" w:hAnsi="Times New Roman" w:cs="Times New Roman"/>
          <w:b/>
          <w:noProof/>
          <w:sz w:val="24"/>
          <w:vertAlign w:val="subscript"/>
          <w:lang w:eastAsia="es-EC"/>
        </w:rPr>
        <w:t>co</w:t>
      </w:r>
      <w:r w:rsidR="00DF46F4" w:rsidRPr="00686018">
        <w:rPr>
          <w:rFonts w:ascii="Times New Roman" w:hAnsi="Times New Roman" w:cs="Times New Roman"/>
          <w:b/>
          <w:noProof/>
          <w:sz w:val="24"/>
          <w:lang w:eastAsia="es-EC"/>
        </w:rPr>
        <w:t>:</w:t>
      </w:r>
      <w:r w:rsidR="00DF46F4" w:rsidRPr="00686018">
        <w:rPr>
          <w:rFonts w:ascii="Times New Roman" w:hAnsi="Times New Roman" w:cs="Times New Roman"/>
          <w:noProof/>
          <w:sz w:val="24"/>
          <w:lang w:eastAsia="es-EC"/>
        </w:rPr>
        <w:t xml:space="preserve"> representa el rendimineto de metano experimental de la codigestión.</w:t>
      </w:r>
    </w:p>
    <w:p w:rsidR="00DF46F4" w:rsidRPr="00686018" w:rsidRDefault="00DF46F4" w:rsidP="00A31608">
      <w:pPr>
        <w:jc w:val="both"/>
        <w:rPr>
          <w:rFonts w:ascii="Times New Roman" w:hAnsi="Times New Roman" w:cs="Times New Roman"/>
          <w:noProof/>
          <w:sz w:val="24"/>
          <w:lang w:eastAsia="es-EC"/>
        </w:rPr>
      </w:pPr>
      <w:r w:rsidRPr="00686018">
        <w:rPr>
          <w:rFonts w:ascii="Times New Roman" w:hAnsi="Times New Roman" w:cs="Times New Roman"/>
          <w:b/>
          <w:noProof/>
          <w:sz w:val="24"/>
          <w:lang w:eastAsia="es-EC"/>
        </w:rPr>
        <w:t>X</w:t>
      </w:r>
      <w:r w:rsidRPr="00686018">
        <w:rPr>
          <w:rFonts w:ascii="Times New Roman" w:hAnsi="Times New Roman" w:cs="Times New Roman"/>
          <w:b/>
          <w:noProof/>
          <w:sz w:val="24"/>
          <w:vertAlign w:val="subscript"/>
          <w:lang w:eastAsia="es-EC"/>
        </w:rPr>
        <w:t>1</w:t>
      </w:r>
      <w:r w:rsidRPr="00686018">
        <w:rPr>
          <w:rFonts w:ascii="Times New Roman" w:hAnsi="Times New Roman" w:cs="Times New Roman"/>
          <w:b/>
          <w:noProof/>
          <w:sz w:val="24"/>
          <w:lang w:eastAsia="es-EC"/>
        </w:rPr>
        <w:t>, X</w:t>
      </w:r>
      <w:r w:rsidRPr="00686018">
        <w:rPr>
          <w:rFonts w:ascii="Times New Roman" w:hAnsi="Times New Roman" w:cs="Times New Roman"/>
          <w:b/>
          <w:noProof/>
          <w:sz w:val="24"/>
          <w:vertAlign w:val="subscript"/>
          <w:lang w:eastAsia="es-EC"/>
        </w:rPr>
        <w:t>2</w:t>
      </w:r>
      <w:r w:rsidRPr="00686018">
        <w:rPr>
          <w:rFonts w:ascii="Times New Roman" w:hAnsi="Times New Roman" w:cs="Times New Roman"/>
          <w:b/>
          <w:noProof/>
          <w:sz w:val="24"/>
          <w:lang w:eastAsia="es-EC"/>
        </w:rPr>
        <w:t>, X</w:t>
      </w:r>
      <w:r w:rsidRPr="00686018">
        <w:rPr>
          <w:rFonts w:ascii="Times New Roman" w:hAnsi="Times New Roman" w:cs="Times New Roman"/>
          <w:b/>
          <w:noProof/>
          <w:sz w:val="24"/>
          <w:vertAlign w:val="subscript"/>
          <w:lang w:eastAsia="es-EC"/>
        </w:rPr>
        <w:t>n</w:t>
      </w:r>
      <w:r w:rsidRPr="00686018">
        <w:rPr>
          <w:rFonts w:ascii="Times New Roman" w:hAnsi="Times New Roman" w:cs="Times New Roman"/>
          <w:b/>
          <w:noProof/>
          <w:sz w:val="24"/>
          <w:lang w:eastAsia="es-EC"/>
        </w:rPr>
        <w:t>:</w:t>
      </w:r>
      <w:r w:rsidRPr="00686018">
        <w:rPr>
          <w:rFonts w:ascii="Times New Roman" w:hAnsi="Times New Roman" w:cs="Times New Roman"/>
          <w:noProof/>
          <w:sz w:val="24"/>
          <w:lang w:eastAsia="es-EC"/>
        </w:rPr>
        <w:t xml:space="preserve"> son las fracciones de los solidos volatiles del primer, segundo y n-eavo sustrato en la co-digestion, respectivamente.</w:t>
      </w:r>
    </w:p>
    <w:p w:rsidR="00DF46F4" w:rsidRPr="00686018" w:rsidRDefault="00F56C72" w:rsidP="00A31608">
      <w:pPr>
        <w:jc w:val="both"/>
        <w:rPr>
          <w:rFonts w:ascii="Times New Roman" w:hAnsi="Times New Roman" w:cs="Times New Roman"/>
          <w:noProof/>
          <w:sz w:val="24"/>
          <w:lang w:eastAsia="es-EC"/>
        </w:rPr>
      </w:pPr>
      <w:r w:rsidRPr="00686018">
        <w:rPr>
          <w:rFonts w:ascii="Times New Roman" w:hAnsi="Times New Roman" w:cs="Times New Roman"/>
          <w:b/>
          <w:noProof/>
          <w:sz w:val="24"/>
          <w:lang w:eastAsia="es-EC"/>
        </w:rPr>
        <w:t>RME</w:t>
      </w:r>
      <w:r w:rsidR="00DF46F4" w:rsidRPr="00686018">
        <w:rPr>
          <w:rFonts w:ascii="Times New Roman" w:hAnsi="Times New Roman" w:cs="Times New Roman"/>
          <w:b/>
          <w:noProof/>
          <w:sz w:val="24"/>
          <w:vertAlign w:val="subscript"/>
          <w:lang w:eastAsia="es-EC"/>
        </w:rPr>
        <w:t>1</w:t>
      </w:r>
      <w:r w:rsidR="00DF46F4" w:rsidRPr="00686018">
        <w:rPr>
          <w:rFonts w:ascii="Times New Roman" w:hAnsi="Times New Roman" w:cs="Times New Roman"/>
          <w:b/>
          <w:noProof/>
          <w:sz w:val="24"/>
          <w:lang w:eastAsia="es-EC"/>
        </w:rPr>
        <w:t xml:space="preserve">, </w:t>
      </w:r>
      <w:r w:rsidRPr="00686018">
        <w:rPr>
          <w:rFonts w:ascii="Times New Roman" w:hAnsi="Times New Roman" w:cs="Times New Roman"/>
          <w:b/>
          <w:noProof/>
          <w:sz w:val="24"/>
          <w:lang w:eastAsia="es-EC"/>
        </w:rPr>
        <w:t>RME</w:t>
      </w:r>
      <w:r w:rsidR="00DF46F4" w:rsidRPr="00686018">
        <w:rPr>
          <w:rFonts w:ascii="Times New Roman" w:hAnsi="Times New Roman" w:cs="Times New Roman"/>
          <w:b/>
          <w:noProof/>
          <w:sz w:val="24"/>
          <w:vertAlign w:val="subscript"/>
          <w:lang w:eastAsia="es-EC"/>
        </w:rPr>
        <w:t>2</w:t>
      </w:r>
      <w:r w:rsidR="00DF46F4" w:rsidRPr="00686018">
        <w:rPr>
          <w:rFonts w:ascii="Times New Roman" w:hAnsi="Times New Roman" w:cs="Times New Roman"/>
          <w:b/>
          <w:noProof/>
          <w:sz w:val="24"/>
          <w:lang w:eastAsia="es-EC"/>
        </w:rPr>
        <w:t xml:space="preserve">, </w:t>
      </w:r>
      <w:r w:rsidRPr="00686018">
        <w:rPr>
          <w:rFonts w:ascii="Times New Roman" w:hAnsi="Times New Roman" w:cs="Times New Roman"/>
          <w:b/>
          <w:noProof/>
          <w:sz w:val="24"/>
          <w:lang w:eastAsia="es-EC"/>
        </w:rPr>
        <w:t>RME</w:t>
      </w:r>
      <w:r w:rsidR="00DF46F4" w:rsidRPr="00686018">
        <w:rPr>
          <w:rFonts w:ascii="Times New Roman" w:hAnsi="Times New Roman" w:cs="Times New Roman"/>
          <w:b/>
          <w:noProof/>
          <w:sz w:val="24"/>
          <w:vertAlign w:val="subscript"/>
          <w:lang w:eastAsia="es-EC"/>
        </w:rPr>
        <w:t>n</w:t>
      </w:r>
      <w:r w:rsidR="00DF46F4" w:rsidRPr="00686018">
        <w:rPr>
          <w:rFonts w:ascii="Times New Roman" w:hAnsi="Times New Roman" w:cs="Times New Roman"/>
          <w:b/>
          <w:noProof/>
          <w:sz w:val="24"/>
          <w:lang w:eastAsia="es-EC"/>
        </w:rPr>
        <w:t>:</w:t>
      </w:r>
      <w:r w:rsidR="00DF46F4" w:rsidRPr="00686018">
        <w:rPr>
          <w:rFonts w:ascii="Times New Roman" w:hAnsi="Times New Roman" w:cs="Times New Roman"/>
          <w:noProof/>
          <w:sz w:val="24"/>
          <w:lang w:eastAsia="es-EC"/>
        </w:rPr>
        <w:t xml:space="preserve"> representa el rendimineto de metano experimental de la mono-digestion del primer, segundo y n-eavo sustrato, respectivamente.</w:t>
      </w:r>
    </w:p>
    <w:p w:rsidR="00DF46F4" w:rsidRPr="00686018" w:rsidRDefault="00DF46F4" w:rsidP="00A31608">
      <w:pPr>
        <w:pStyle w:val="Ttulo5"/>
        <w:numPr>
          <w:ilvl w:val="3"/>
          <w:numId w:val="4"/>
        </w:numPr>
        <w:ind w:left="646" w:hanging="646"/>
        <w:jc w:val="both"/>
        <w:rPr>
          <w:rFonts w:ascii="Times New Roman" w:hAnsi="Times New Roman" w:cs="Times New Roman"/>
          <w:i w:val="0"/>
        </w:rPr>
      </w:pPr>
      <w:bookmarkStart w:id="215" w:name="_Toc9537839"/>
      <w:r w:rsidRPr="00686018">
        <w:rPr>
          <w:rFonts w:ascii="Times New Roman" w:hAnsi="Times New Roman" w:cs="Times New Roman"/>
          <w:i w:val="0"/>
        </w:rPr>
        <w:t>Tiempo de retención hidráulica</w:t>
      </w:r>
      <w:bookmarkEnd w:id="215"/>
    </w:p>
    <w:p w:rsidR="007E0393"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El tiempo de rete</w:t>
      </w:r>
      <w:r w:rsidR="00DF7D54" w:rsidRPr="00686018">
        <w:rPr>
          <w:rFonts w:ascii="Times New Roman" w:hAnsi="Times New Roman" w:cs="Times New Roman"/>
          <w:sz w:val="24"/>
          <w:szCs w:val="24"/>
        </w:rPr>
        <w:t>nción hidráulico fue</w:t>
      </w:r>
      <w:r w:rsidRPr="00686018">
        <w:rPr>
          <w:rFonts w:ascii="Times New Roman" w:hAnsi="Times New Roman" w:cs="Times New Roman"/>
          <w:sz w:val="24"/>
          <w:szCs w:val="24"/>
        </w:rPr>
        <w:t xml:space="preserve"> el número de días en que finaliza la producción de biogás en los digestores. Normalmente este tiempo tarda de 30 a 45 días dependiendo del sustrato empleado en la digestión anaerobia.</w:t>
      </w:r>
    </w:p>
    <w:p w:rsidR="00056941" w:rsidRDefault="00056941" w:rsidP="00A31608">
      <w:pPr>
        <w:jc w:val="both"/>
        <w:rPr>
          <w:rFonts w:ascii="Times New Roman" w:hAnsi="Times New Roman" w:cs="Times New Roman"/>
          <w:sz w:val="24"/>
          <w:szCs w:val="24"/>
        </w:rPr>
      </w:pPr>
    </w:p>
    <w:p w:rsidR="00056941" w:rsidRDefault="00056941" w:rsidP="00A31608">
      <w:pPr>
        <w:jc w:val="both"/>
        <w:rPr>
          <w:rFonts w:ascii="Times New Roman" w:hAnsi="Times New Roman" w:cs="Times New Roman"/>
          <w:sz w:val="24"/>
          <w:szCs w:val="24"/>
        </w:rPr>
      </w:pPr>
    </w:p>
    <w:p w:rsidR="00056941" w:rsidRPr="00686018" w:rsidRDefault="00056941" w:rsidP="00A31608">
      <w:pPr>
        <w:jc w:val="both"/>
        <w:rPr>
          <w:rFonts w:ascii="Times New Roman" w:hAnsi="Times New Roman" w:cs="Times New Roman"/>
          <w:sz w:val="24"/>
          <w:szCs w:val="24"/>
        </w:rPr>
      </w:pPr>
    </w:p>
    <w:p w:rsidR="002C3C40" w:rsidRPr="00686018" w:rsidRDefault="003538F6" w:rsidP="00A31608">
      <w:pPr>
        <w:pStyle w:val="Ttulo1"/>
        <w:jc w:val="both"/>
        <w:rPr>
          <w:rFonts w:cs="Times New Roman"/>
        </w:rPr>
      </w:pPr>
      <w:bookmarkStart w:id="216" w:name="_Toc534724624"/>
      <w:bookmarkStart w:id="217" w:name="_Toc534817239"/>
      <w:bookmarkStart w:id="218" w:name="_Toc534817422"/>
      <w:bookmarkStart w:id="219" w:name="_Toc534817729"/>
      <w:bookmarkStart w:id="220" w:name="_Toc535410432"/>
      <w:bookmarkStart w:id="221" w:name="_Toc535410498"/>
      <w:bookmarkStart w:id="222" w:name="_Toc9537840"/>
      <w:r w:rsidRPr="00686018">
        <w:rPr>
          <w:rFonts w:cs="Times New Roman"/>
        </w:rPr>
        <w:lastRenderedPageBreak/>
        <w:t>CAPITULO V</w:t>
      </w:r>
      <w:bookmarkEnd w:id="216"/>
      <w:bookmarkEnd w:id="217"/>
      <w:bookmarkEnd w:id="218"/>
      <w:bookmarkEnd w:id="219"/>
      <w:bookmarkEnd w:id="220"/>
      <w:bookmarkEnd w:id="221"/>
      <w:bookmarkEnd w:id="222"/>
    </w:p>
    <w:p w:rsidR="002F621A" w:rsidRPr="00686018" w:rsidRDefault="00C71383" w:rsidP="00A31608">
      <w:pPr>
        <w:pStyle w:val="Ttulo2"/>
        <w:numPr>
          <w:ilvl w:val="0"/>
          <w:numId w:val="4"/>
        </w:numPr>
        <w:jc w:val="both"/>
        <w:rPr>
          <w:rFonts w:cs="Times New Roman"/>
          <w:lang w:eastAsia="es-EC"/>
        </w:rPr>
      </w:pPr>
      <w:bookmarkStart w:id="223" w:name="_Toc9537841"/>
      <w:r w:rsidRPr="00686018">
        <w:rPr>
          <w:rFonts w:cs="Times New Roman"/>
          <w:lang w:eastAsia="es-EC"/>
        </w:rPr>
        <w:t xml:space="preserve">RESULTADOS Y </w:t>
      </w:r>
      <w:r w:rsidR="00DB1BA1" w:rsidRPr="00686018">
        <w:rPr>
          <w:rFonts w:cs="Times New Roman"/>
          <w:lang w:eastAsia="es-EC"/>
        </w:rPr>
        <w:t>DISCUSIÓN</w:t>
      </w:r>
      <w:bookmarkEnd w:id="223"/>
    </w:p>
    <w:p w:rsidR="00DB1BA1" w:rsidRPr="00686018" w:rsidRDefault="00805597" w:rsidP="00A31608">
      <w:pPr>
        <w:pStyle w:val="Ttulo3"/>
        <w:numPr>
          <w:ilvl w:val="1"/>
          <w:numId w:val="4"/>
        </w:numPr>
        <w:ind w:left="431" w:hanging="431"/>
        <w:jc w:val="both"/>
        <w:rPr>
          <w:rFonts w:ascii="Times New Roman" w:hAnsi="Times New Roman" w:cs="Times New Roman"/>
          <w:i w:val="0"/>
          <w:lang w:eastAsia="es-EC"/>
        </w:rPr>
      </w:pPr>
      <w:bookmarkStart w:id="224" w:name="_Toc9537842"/>
      <w:r w:rsidRPr="00686018">
        <w:rPr>
          <w:rFonts w:ascii="Times New Roman" w:hAnsi="Times New Roman" w:cs="Times New Roman"/>
          <w:i w:val="0"/>
          <w:lang w:eastAsia="es-EC"/>
        </w:rPr>
        <w:t>Caracterización de los sustratos e inóculo</w:t>
      </w:r>
      <w:bookmarkEnd w:id="224"/>
    </w:p>
    <w:p w:rsidR="00805597" w:rsidRPr="00686018" w:rsidRDefault="00981DFA" w:rsidP="00A31608">
      <w:pPr>
        <w:jc w:val="both"/>
        <w:rPr>
          <w:rFonts w:ascii="Times New Roman" w:hAnsi="Times New Roman" w:cs="Times New Roman"/>
          <w:sz w:val="24"/>
          <w:lang w:eastAsia="es-EC"/>
        </w:rPr>
      </w:pPr>
      <w:r w:rsidRPr="00686018">
        <w:rPr>
          <w:rFonts w:ascii="Times New Roman" w:hAnsi="Times New Roman" w:cs="Times New Roman"/>
          <w:sz w:val="24"/>
          <w:lang w:eastAsia="es-EC"/>
        </w:rPr>
        <w:t>La Tabla 9</w:t>
      </w:r>
      <w:r w:rsidR="00805597" w:rsidRPr="00686018">
        <w:rPr>
          <w:rFonts w:ascii="Times New Roman" w:hAnsi="Times New Roman" w:cs="Times New Roman"/>
          <w:sz w:val="24"/>
          <w:lang w:eastAsia="es-EC"/>
        </w:rPr>
        <w:t xml:space="preserve"> presenta los resultados de la caracterización de los sustratos e inóculo; los valores corresponden al promedio de los datos obtenidos en las diferente</w:t>
      </w:r>
      <w:r w:rsidR="007804D0" w:rsidRPr="00686018">
        <w:rPr>
          <w:rFonts w:ascii="Times New Roman" w:hAnsi="Times New Roman" w:cs="Times New Roman"/>
          <w:sz w:val="24"/>
          <w:lang w:eastAsia="es-EC"/>
        </w:rPr>
        <w:t>s caracterizaciones realizadas. Los valores obtenidos en cada car</w:t>
      </w:r>
      <w:r w:rsidR="00CA68E4" w:rsidRPr="00686018">
        <w:rPr>
          <w:rFonts w:ascii="Times New Roman" w:hAnsi="Times New Roman" w:cs="Times New Roman"/>
          <w:sz w:val="24"/>
          <w:lang w:eastAsia="es-EC"/>
        </w:rPr>
        <w:t>acterización se presentan en el</w:t>
      </w:r>
      <w:r w:rsidR="007804D0" w:rsidRPr="00686018">
        <w:rPr>
          <w:rFonts w:ascii="Times New Roman" w:hAnsi="Times New Roman" w:cs="Times New Roman"/>
          <w:sz w:val="24"/>
          <w:lang w:eastAsia="es-EC"/>
        </w:rPr>
        <w:t xml:space="preserve"> </w:t>
      </w:r>
      <w:r w:rsidR="00CC3CB7" w:rsidRPr="00686018">
        <w:rPr>
          <w:rFonts w:ascii="Times New Roman" w:hAnsi="Times New Roman" w:cs="Times New Roman"/>
          <w:b/>
          <w:sz w:val="24"/>
          <w:lang w:eastAsia="es-EC"/>
        </w:rPr>
        <w:t>ANEXO</w:t>
      </w:r>
      <w:r w:rsidR="00CC3CB7" w:rsidRPr="00686018">
        <w:rPr>
          <w:rFonts w:ascii="Times New Roman" w:hAnsi="Times New Roman" w:cs="Times New Roman"/>
          <w:b/>
          <w:color w:val="FF0000"/>
          <w:sz w:val="24"/>
          <w:lang w:eastAsia="es-EC"/>
        </w:rPr>
        <w:t xml:space="preserve"> </w:t>
      </w:r>
      <w:r w:rsidR="00B47D25" w:rsidRPr="00686018">
        <w:rPr>
          <w:rFonts w:ascii="Times New Roman" w:hAnsi="Times New Roman" w:cs="Times New Roman"/>
          <w:b/>
          <w:sz w:val="24"/>
          <w:lang w:eastAsia="es-EC"/>
        </w:rPr>
        <w:t>4</w:t>
      </w:r>
      <w:r w:rsidR="007C6631" w:rsidRPr="00686018">
        <w:rPr>
          <w:rFonts w:ascii="Times New Roman" w:hAnsi="Times New Roman" w:cs="Times New Roman"/>
          <w:b/>
          <w:sz w:val="24"/>
          <w:lang w:eastAsia="es-EC"/>
        </w:rPr>
        <w:t>.</w:t>
      </w:r>
    </w:p>
    <w:p w:rsidR="00805597" w:rsidRPr="00686018" w:rsidRDefault="00805597" w:rsidP="00A31608">
      <w:pPr>
        <w:pStyle w:val="Descripcin"/>
        <w:jc w:val="both"/>
        <w:rPr>
          <w:rFonts w:ascii="Times New Roman" w:hAnsi="Times New Roman" w:cs="Times New Roman"/>
          <w:i w:val="0"/>
          <w:color w:val="auto"/>
          <w:sz w:val="24"/>
          <w:lang w:eastAsia="es-EC"/>
        </w:rPr>
      </w:pPr>
      <w:bookmarkStart w:id="225" w:name="_Toc9537912"/>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9</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Características fisicoquímicas de los sustratos e inóculo.</w:t>
      </w:r>
      <w:bookmarkEnd w:id="225"/>
    </w:p>
    <w:tbl>
      <w:tblPr>
        <w:tblStyle w:val="Tablaconcuadrcula"/>
        <w:tblW w:w="78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6"/>
        <w:gridCol w:w="1360"/>
        <w:gridCol w:w="1504"/>
        <w:gridCol w:w="1504"/>
        <w:gridCol w:w="1680"/>
      </w:tblGrid>
      <w:tr w:rsidR="00805597" w:rsidRPr="00686018" w:rsidTr="00C44C20">
        <w:trPr>
          <w:trHeight w:val="499"/>
          <w:jc w:val="center"/>
        </w:trPr>
        <w:tc>
          <w:tcPr>
            <w:tcW w:w="1806" w:type="dxa"/>
            <w:tcBorders>
              <w:top w:val="single" w:sz="4" w:space="0" w:color="auto"/>
              <w:bottom w:val="single" w:sz="4" w:space="0" w:color="auto"/>
            </w:tcBorders>
            <w:noWrap/>
            <w:vAlign w:val="center"/>
            <w:hideMark/>
          </w:tcPr>
          <w:p w:rsidR="00805597" w:rsidRPr="00686018" w:rsidRDefault="00805597" w:rsidP="00C44C20">
            <w:pPr>
              <w:jc w:val="center"/>
              <w:rPr>
                <w:rFonts w:ascii="Times New Roman" w:hAnsi="Times New Roman" w:cs="Times New Roman"/>
                <w:b/>
                <w:bCs/>
                <w:sz w:val="18"/>
                <w:szCs w:val="18"/>
                <w:lang w:eastAsia="es-EC"/>
              </w:rPr>
            </w:pPr>
            <w:r w:rsidRPr="00686018">
              <w:rPr>
                <w:rFonts w:ascii="Times New Roman" w:hAnsi="Times New Roman" w:cs="Times New Roman"/>
                <w:b/>
                <w:bCs/>
                <w:sz w:val="18"/>
                <w:szCs w:val="18"/>
                <w:lang w:eastAsia="es-EC"/>
              </w:rPr>
              <w:t>PARAMETRO</w:t>
            </w:r>
          </w:p>
        </w:tc>
        <w:tc>
          <w:tcPr>
            <w:tcW w:w="1360" w:type="dxa"/>
            <w:tcBorders>
              <w:top w:val="single" w:sz="4" w:space="0" w:color="auto"/>
              <w:bottom w:val="single" w:sz="4" w:space="0" w:color="auto"/>
            </w:tcBorders>
            <w:vAlign w:val="center"/>
            <w:hideMark/>
          </w:tcPr>
          <w:p w:rsidR="00805597" w:rsidRPr="00686018" w:rsidRDefault="00805597" w:rsidP="00C44C20">
            <w:pPr>
              <w:jc w:val="center"/>
              <w:rPr>
                <w:rFonts w:ascii="Times New Roman" w:hAnsi="Times New Roman" w:cs="Times New Roman"/>
                <w:b/>
                <w:bCs/>
                <w:sz w:val="18"/>
                <w:szCs w:val="18"/>
                <w:lang w:eastAsia="es-EC"/>
              </w:rPr>
            </w:pPr>
            <w:r w:rsidRPr="00686018">
              <w:rPr>
                <w:rFonts w:ascii="Times New Roman" w:hAnsi="Times New Roman" w:cs="Times New Roman"/>
                <w:b/>
                <w:bCs/>
                <w:sz w:val="18"/>
                <w:szCs w:val="18"/>
                <w:lang w:eastAsia="es-EC"/>
              </w:rPr>
              <w:t>Unidades</w:t>
            </w:r>
          </w:p>
        </w:tc>
        <w:tc>
          <w:tcPr>
            <w:tcW w:w="1504" w:type="dxa"/>
            <w:tcBorders>
              <w:top w:val="single" w:sz="4" w:space="0" w:color="auto"/>
              <w:bottom w:val="single" w:sz="4" w:space="0" w:color="auto"/>
            </w:tcBorders>
            <w:vAlign w:val="center"/>
            <w:hideMark/>
          </w:tcPr>
          <w:p w:rsidR="00805597" w:rsidRPr="00686018" w:rsidRDefault="00805597" w:rsidP="00C44C20">
            <w:pPr>
              <w:jc w:val="center"/>
              <w:rPr>
                <w:rFonts w:ascii="Times New Roman" w:hAnsi="Times New Roman" w:cs="Times New Roman"/>
                <w:b/>
                <w:bCs/>
                <w:sz w:val="18"/>
                <w:szCs w:val="18"/>
                <w:lang w:eastAsia="es-EC"/>
              </w:rPr>
            </w:pPr>
            <w:r w:rsidRPr="00686018">
              <w:rPr>
                <w:rFonts w:ascii="Times New Roman" w:hAnsi="Times New Roman" w:cs="Times New Roman"/>
                <w:b/>
                <w:bCs/>
                <w:sz w:val="18"/>
                <w:szCs w:val="18"/>
                <w:lang w:eastAsia="es-EC"/>
              </w:rPr>
              <w:t xml:space="preserve">R. </w:t>
            </w:r>
            <w:r w:rsidR="0082739E" w:rsidRPr="00686018">
              <w:rPr>
                <w:rFonts w:ascii="Times New Roman" w:hAnsi="Times New Roman" w:cs="Times New Roman"/>
                <w:b/>
                <w:bCs/>
                <w:sz w:val="18"/>
                <w:szCs w:val="18"/>
                <w:lang w:eastAsia="es-EC"/>
              </w:rPr>
              <w:t>Ruminal</w:t>
            </w:r>
            <w:r w:rsidRPr="00686018">
              <w:rPr>
                <w:rFonts w:ascii="Times New Roman" w:hAnsi="Times New Roman" w:cs="Times New Roman"/>
                <w:b/>
                <w:bCs/>
                <w:sz w:val="18"/>
                <w:szCs w:val="18"/>
                <w:lang w:eastAsia="es-EC"/>
              </w:rPr>
              <w:t xml:space="preserve"> (RE)</w:t>
            </w:r>
          </w:p>
        </w:tc>
        <w:tc>
          <w:tcPr>
            <w:tcW w:w="1504" w:type="dxa"/>
            <w:tcBorders>
              <w:top w:val="single" w:sz="4" w:space="0" w:color="auto"/>
              <w:bottom w:val="single" w:sz="4" w:space="0" w:color="auto"/>
            </w:tcBorders>
            <w:vAlign w:val="center"/>
            <w:hideMark/>
          </w:tcPr>
          <w:p w:rsidR="00805597" w:rsidRPr="00686018" w:rsidRDefault="00805597" w:rsidP="00C44C20">
            <w:pPr>
              <w:jc w:val="center"/>
              <w:rPr>
                <w:rFonts w:ascii="Times New Roman" w:hAnsi="Times New Roman" w:cs="Times New Roman"/>
                <w:b/>
                <w:bCs/>
                <w:sz w:val="18"/>
                <w:szCs w:val="18"/>
                <w:lang w:eastAsia="es-EC"/>
              </w:rPr>
            </w:pPr>
            <w:r w:rsidRPr="00686018">
              <w:rPr>
                <w:rFonts w:ascii="Times New Roman" w:hAnsi="Times New Roman" w:cs="Times New Roman"/>
                <w:b/>
                <w:bCs/>
                <w:sz w:val="18"/>
                <w:szCs w:val="18"/>
                <w:lang w:eastAsia="es-EC"/>
              </w:rPr>
              <w:t>Trigo (TR)</w:t>
            </w:r>
          </w:p>
        </w:tc>
        <w:tc>
          <w:tcPr>
            <w:tcW w:w="1680" w:type="dxa"/>
            <w:tcBorders>
              <w:top w:val="single" w:sz="4" w:space="0" w:color="auto"/>
              <w:bottom w:val="single" w:sz="4" w:space="0" w:color="auto"/>
            </w:tcBorders>
            <w:noWrap/>
            <w:vAlign w:val="center"/>
            <w:hideMark/>
          </w:tcPr>
          <w:p w:rsidR="00805597" w:rsidRPr="00686018" w:rsidRDefault="00805597" w:rsidP="00C44C20">
            <w:pPr>
              <w:jc w:val="center"/>
              <w:rPr>
                <w:rFonts w:ascii="Times New Roman" w:hAnsi="Times New Roman" w:cs="Times New Roman"/>
                <w:b/>
                <w:bCs/>
                <w:sz w:val="18"/>
                <w:szCs w:val="18"/>
                <w:lang w:eastAsia="es-EC"/>
              </w:rPr>
            </w:pPr>
            <w:r w:rsidRPr="00686018">
              <w:rPr>
                <w:rFonts w:ascii="Times New Roman" w:hAnsi="Times New Roman" w:cs="Times New Roman"/>
                <w:b/>
                <w:bCs/>
                <w:sz w:val="18"/>
                <w:szCs w:val="18"/>
                <w:lang w:eastAsia="es-EC"/>
              </w:rPr>
              <w:t>Inóculo</w:t>
            </w:r>
          </w:p>
        </w:tc>
      </w:tr>
      <w:tr w:rsidR="00805597" w:rsidRPr="00686018" w:rsidTr="00C44C20">
        <w:trPr>
          <w:trHeight w:val="248"/>
          <w:jc w:val="center"/>
        </w:trPr>
        <w:tc>
          <w:tcPr>
            <w:tcW w:w="1806" w:type="dxa"/>
            <w:tcBorders>
              <w:top w:val="single" w:sz="4" w:space="0" w:color="auto"/>
            </w:tcBorders>
            <w:noWrap/>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Humedad</w:t>
            </w:r>
          </w:p>
        </w:tc>
        <w:tc>
          <w:tcPr>
            <w:tcW w:w="1360" w:type="dxa"/>
            <w:tcBorders>
              <w:top w:val="single" w:sz="4" w:space="0" w:color="auto"/>
            </w:tcBorders>
            <w:vAlign w:val="center"/>
            <w:hideMark/>
          </w:tcPr>
          <w:p w:rsidR="00805597" w:rsidRPr="00711FF6" w:rsidRDefault="00805597" w:rsidP="00C44C20">
            <w:pPr>
              <w:jc w:val="center"/>
              <w:rPr>
                <w:rFonts w:ascii="Times New Roman" w:hAnsi="Times New Roman" w:cs="Times New Roman"/>
                <w:bCs/>
                <w:sz w:val="18"/>
                <w:szCs w:val="18"/>
                <w:lang w:eastAsia="es-EC"/>
              </w:rPr>
            </w:pPr>
            <w:r w:rsidRPr="00711FF6">
              <w:rPr>
                <w:rFonts w:ascii="Times New Roman" w:hAnsi="Times New Roman" w:cs="Times New Roman"/>
                <w:bCs/>
                <w:sz w:val="18"/>
                <w:szCs w:val="18"/>
                <w:lang w:eastAsia="es-EC"/>
              </w:rPr>
              <w:t>%</w:t>
            </w:r>
          </w:p>
        </w:tc>
        <w:tc>
          <w:tcPr>
            <w:tcW w:w="1504" w:type="dxa"/>
            <w:tcBorders>
              <w:top w:val="single" w:sz="4" w:space="0" w:color="auto"/>
            </w:tcBorders>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90</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44</w:t>
            </w:r>
          </w:p>
        </w:tc>
        <w:tc>
          <w:tcPr>
            <w:tcW w:w="1504" w:type="dxa"/>
            <w:tcBorders>
              <w:top w:val="single" w:sz="4" w:space="0" w:color="auto"/>
            </w:tcBorders>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11</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84</w:t>
            </w:r>
          </w:p>
        </w:tc>
        <w:tc>
          <w:tcPr>
            <w:tcW w:w="1680" w:type="dxa"/>
            <w:tcBorders>
              <w:top w:val="single" w:sz="4" w:space="0" w:color="auto"/>
            </w:tcBorders>
            <w:noWrap/>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96</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08</w:t>
            </w:r>
          </w:p>
        </w:tc>
      </w:tr>
      <w:tr w:rsidR="00805597" w:rsidRPr="00686018" w:rsidTr="00C44C20">
        <w:trPr>
          <w:trHeight w:val="248"/>
          <w:jc w:val="center"/>
        </w:trPr>
        <w:tc>
          <w:tcPr>
            <w:tcW w:w="1806" w:type="dxa"/>
            <w:noWrap/>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ST</w:t>
            </w:r>
          </w:p>
        </w:tc>
        <w:tc>
          <w:tcPr>
            <w:tcW w:w="1360" w:type="dxa"/>
            <w:noWrap/>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noWrap/>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9</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56</w:t>
            </w:r>
          </w:p>
        </w:tc>
        <w:tc>
          <w:tcPr>
            <w:tcW w:w="1504" w:type="dxa"/>
            <w:noWrap/>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88</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16</w:t>
            </w:r>
          </w:p>
        </w:tc>
        <w:tc>
          <w:tcPr>
            <w:tcW w:w="1680" w:type="dxa"/>
            <w:noWrap/>
            <w:vAlign w:val="center"/>
            <w:hideMark/>
          </w:tcPr>
          <w:p w:rsidR="00805597" w:rsidRPr="00686018" w:rsidRDefault="00805597"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3</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92</w:t>
            </w:r>
          </w:p>
        </w:tc>
      </w:tr>
      <w:tr w:rsidR="00A81B29" w:rsidRPr="00686018" w:rsidTr="00C44C20">
        <w:trPr>
          <w:trHeight w:val="248"/>
          <w:jc w:val="center"/>
        </w:trPr>
        <w:tc>
          <w:tcPr>
            <w:tcW w:w="1806" w:type="dxa"/>
            <w:noWrap/>
            <w:vAlign w:val="center"/>
          </w:tcPr>
          <w:p w:rsidR="00A81B29" w:rsidRPr="00686018" w:rsidRDefault="00A81B29"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Cenizas</w:t>
            </w:r>
          </w:p>
        </w:tc>
        <w:tc>
          <w:tcPr>
            <w:tcW w:w="1360" w:type="dxa"/>
            <w:noWrap/>
            <w:vAlign w:val="center"/>
          </w:tcPr>
          <w:p w:rsidR="00A81B29" w:rsidRPr="00686018" w:rsidRDefault="00A81B29"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tcBorders>
              <w:top w:val="nil"/>
              <w:left w:val="nil"/>
              <w:bottom w:val="nil"/>
              <w:right w:val="nil"/>
            </w:tcBorders>
            <w:shd w:val="clear" w:color="auto" w:fill="auto"/>
            <w:noWrap/>
            <w:vAlign w:val="center"/>
          </w:tcPr>
          <w:p w:rsidR="00A81B29" w:rsidRPr="00686018" w:rsidRDefault="007A6340" w:rsidP="00C44C20">
            <w:pPr>
              <w:jc w:val="center"/>
              <w:rPr>
                <w:rFonts w:ascii="Times New Roman" w:hAnsi="Times New Roman" w:cs="Times New Roman"/>
                <w:color w:val="000000"/>
                <w:sz w:val="18"/>
                <w:szCs w:val="18"/>
              </w:rPr>
            </w:pPr>
            <w:r w:rsidRPr="00686018">
              <w:rPr>
                <w:rFonts w:ascii="Times New Roman" w:hAnsi="Times New Roman" w:cs="Times New Roman"/>
                <w:color w:val="000000"/>
                <w:sz w:val="18"/>
                <w:szCs w:val="18"/>
              </w:rPr>
              <w:t>12</w:t>
            </w:r>
            <w:r w:rsidR="00DD14D0">
              <w:rPr>
                <w:rFonts w:ascii="Times New Roman" w:hAnsi="Times New Roman" w:cs="Times New Roman"/>
                <w:color w:val="000000"/>
                <w:sz w:val="18"/>
                <w:szCs w:val="18"/>
              </w:rPr>
              <w:t>.</w:t>
            </w:r>
            <w:r w:rsidRPr="00686018">
              <w:rPr>
                <w:rFonts w:ascii="Times New Roman" w:hAnsi="Times New Roman" w:cs="Times New Roman"/>
                <w:color w:val="000000"/>
                <w:sz w:val="18"/>
                <w:szCs w:val="18"/>
              </w:rPr>
              <w:t>82</w:t>
            </w:r>
          </w:p>
        </w:tc>
        <w:tc>
          <w:tcPr>
            <w:tcW w:w="1504" w:type="dxa"/>
            <w:tcBorders>
              <w:top w:val="nil"/>
              <w:left w:val="nil"/>
              <w:bottom w:val="nil"/>
              <w:right w:val="nil"/>
            </w:tcBorders>
            <w:shd w:val="clear" w:color="auto" w:fill="auto"/>
            <w:noWrap/>
            <w:vAlign w:val="center"/>
          </w:tcPr>
          <w:p w:rsidR="00A81B29" w:rsidRPr="00686018" w:rsidRDefault="007A6340" w:rsidP="00C44C20">
            <w:pPr>
              <w:jc w:val="center"/>
              <w:rPr>
                <w:rFonts w:ascii="Times New Roman" w:hAnsi="Times New Roman" w:cs="Times New Roman"/>
                <w:color w:val="000000"/>
                <w:sz w:val="18"/>
                <w:szCs w:val="18"/>
              </w:rPr>
            </w:pPr>
            <w:r w:rsidRPr="00686018">
              <w:rPr>
                <w:rFonts w:ascii="Times New Roman" w:hAnsi="Times New Roman" w:cs="Times New Roman"/>
                <w:color w:val="000000"/>
                <w:sz w:val="18"/>
                <w:szCs w:val="18"/>
              </w:rPr>
              <w:t>8</w:t>
            </w:r>
            <w:r w:rsidR="00DD14D0">
              <w:rPr>
                <w:rFonts w:ascii="Times New Roman" w:hAnsi="Times New Roman" w:cs="Times New Roman"/>
                <w:color w:val="000000"/>
                <w:sz w:val="18"/>
                <w:szCs w:val="18"/>
              </w:rPr>
              <w:t>.</w:t>
            </w:r>
            <w:r w:rsidRPr="00686018">
              <w:rPr>
                <w:rFonts w:ascii="Times New Roman" w:hAnsi="Times New Roman" w:cs="Times New Roman"/>
                <w:color w:val="000000"/>
                <w:sz w:val="18"/>
                <w:szCs w:val="18"/>
              </w:rPr>
              <w:t>45</w:t>
            </w:r>
          </w:p>
        </w:tc>
        <w:tc>
          <w:tcPr>
            <w:tcW w:w="1680" w:type="dxa"/>
            <w:tcBorders>
              <w:top w:val="nil"/>
              <w:left w:val="nil"/>
              <w:bottom w:val="nil"/>
              <w:right w:val="nil"/>
            </w:tcBorders>
            <w:shd w:val="clear" w:color="auto" w:fill="auto"/>
            <w:noWrap/>
            <w:vAlign w:val="center"/>
          </w:tcPr>
          <w:p w:rsidR="00A81B29" w:rsidRPr="00686018" w:rsidRDefault="007A6340" w:rsidP="00C44C20">
            <w:pPr>
              <w:jc w:val="center"/>
              <w:rPr>
                <w:rFonts w:ascii="Times New Roman" w:hAnsi="Times New Roman" w:cs="Times New Roman"/>
                <w:color w:val="000000"/>
                <w:sz w:val="18"/>
                <w:szCs w:val="18"/>
              </w:rPr>
            </w:pPr>
            <w:r w:rsidRPr="00686018">
              <w:rPr>
                <w:rFonts w:ascii="Times New Roman" w:hAnsi="Times New Roman" w:cs="Times New Roman"/>
                <w:color w:val="000000"/>
                <w:sz w:val="18"/>
                <w:szCs w:val="18"/>
              </w:rPr>
              <w:t>55</w:t>
            </w:r>
            <w:r w:rsidR="00DD14D0">
              <w:rPr>
                <w:rFonts w:ascii="Times New Roman" w:hAnsi="Times New Roman" w:cs="Times New Roman"/>
                <w:color w:val="000000"/>
                <w:sz w:val="18"/>
                <w:szCs w:val="18"/>
              </w:rPr>
              <w:t>.</w:t>
            </w:r>
            <w:r w:rsidRPr="00686018">
              <w:rPr>
                <w:rFonts w:ascii="Times New Roman" w:hAnsi="Times New Roman" w:cs="Times New Roman"/>
                <w:color w:val="000000"/>
                <w:sz w:val="18"/>
                <w:szCs w:val="18"/>
              </w:rPr>
              <w:t>59</w:t>
            </w:r>
          </w:p>
        </w:tc>
      </w:tr>
      <w:tr w:rsidR="00A81B29" w:rsidRPr="00686018" w:rsidTr="00C44C20">
        <w:trPr>
          <w:trHeight w:val="248"/>
          <w:jc w:val="center"/>
        </w:trPr>
        <w:tc>
          <w:tcPr>
            <w:tcW w:w="1806" w:type="dxa"/>
            <w:noWrap/>
            <w:vAlign w:val="center"/>
            <w:hideMark/>
          </w:tcPr>
          <w:p w:rsidR="00A81B29"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SV</w:t>
            </w:r>
          </w:p>
        </w:tc>
        <w:tc>
          <w:tcPr>
            <w:tcW w:w="1360" w:type="dxa"/>
            <w:noWrap/>
            <w:vAlign w:val="center"/>
            <w:hideMark/>
          </w:tcPr>
          <w:p w:rsidR="00A81B29" w:rsidRPr="00686018" w:rsidRDefault="00A81B29"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noWrap/>
            <w:vAlign w:val="center"/>
            <w:hideMark/>
          </w:tcPr>
          <w:p w:rsidR="00A81B29" w:rsidRPr="00686018" w:rsidRDefault="00A81B29"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70</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74</w:t>
            </w:r>
          </w:p>
        </w:tc>
        <w:tc>
          <w:tcPr>
            <w:tcW w:w="1504" w:type="dxa"/>
            <w:noWrap/>
            <w:vAlign w:val="center"/>
            <w:hideMark/>
          </w:tcPr>
          <w:p w:rsidR="00A81B29" w:rsidRPr="00686018" w:rsidRDefault="00A81B29"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74</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79</w:t>
            </w:r>
          </w:p>
        </w:tc>
        <w:tc>
          <w:tcPr>
            <w:tcW w:w="1680" w:type="dxa"/>
            <w:noWrap/>
            <w:vAlign w:val="center"/>
            <w:hideMark/>
          </w:tcPr>
          <w:p w:rsidR="00A81B29" w:rsidRPr="00686018" w:rsidRDefault="00A81B29"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58</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49</w:t>
            </w:r>
          </w:p>
        </w:tc>
      </w:tr>
      <w:tr w:rsidR="00CC5E9A" w:rsidRPr="00686018" w:rsidTr="00C44C20">
        <w:trPr>
          <w:trHeight w:val="248"/>
          <w:jc w:val="center"/>
        </w:trPr>
        <w:tc>
          <w:tcPr>
            <w:tcW w:w="1806"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C</w:t>
            </w:r>
          </w:p>
        </w:tc>
        <w:tc>
          <w:tcPr>
            <w:tcW w:w="1360"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42</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15</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42</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98</w:t>
            </w:r>
          </w:p>
        </w:tc>
        <w:tc>
          <w:tcPr>
            <w:tcW w:w="1680" w:type="dxa"/>
            <w:noWrap/>
            <w:vAlign w:val="center"/>
            <w:hideMark/>
          </w:tcPr>
          <w:p w:rsidR="00CC5E9A" w:rsidRPr="00686018" w:rsidRDefault="00CC5E9A" w:rsidP="00C44C20">
            <w:pPr>
              <w:jc w:val="center"/>
              <w:rPr>
                <w:rFonts w:ascii="Times New Roman" w:hAnsi="Times New Roman" w:cs="Times New Roman"/>
                <w:sz w:val="18"/>
                <w:szCs w:val="18"/>
              </w:rPr>
            </w:pPr>
            <w:r w:rsidRPr="00686018">
              <w:rPr>
                <w:rFonts w:ascii="Times New Roman" w:hAnsi="Times New Roman" w:cs="Times New Roman"/>
                <w:sz w:val="18"/>
                <w:szCs w:val="18"/>
              </w:rPr>
              <w:t>25.01</w:t>
            </w:r>
          </w:p>
        </w:tc>
      </w:tr>
      <w:tr w:rsidR="00CC5E9A" w:rsidRPr="00686018" w:rsidTr="00C44C20">
        <w:trPr>
          <w:trHeight w:val="248"/>
          <w:jc w:val="center"/>
        </w:trPr>
        <w:tc>
          <w:tcPr>
            <w:tcW w:w="1806"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H</w:t>
            </w:r>
          </w:p>
        </w:tc>
        <w:tc>
          <w:tcPr>
            <w:tcW w:w="1360"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6</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30</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6</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47</w:t>
            </w:r>
          </w:p>
        </w:tc>
        <w:tc>
          <w:tcPr>
            <w:tcW w:w="1680" w:type="dxa"/>
            <w:noWrap/>
            <w:vAlign w:val="center"/>
            <w:hideMark/>
          </w:tcPr>
          <w:p w:rsidR="00CC5E9A" w:rsidRPr="00686018" w:rsidRDefault="00CC5E9A" w:rsidP="00C44C20">
            <w:pPr>
              <w:jc w:val="center"/>
              <w:rPr>
                <w:rFonts w:ascii="Times New Roman" w:hAnsi="Times New Roman" w:cs="Times New Roman"/>
                <w:sz w:val="18"/>
                <w:szCs w:val="18"/>
              </w:rPr>
            </w:pPr>
            <w:r w:rsidRPr="00686018">
              <w:rPr>
                <w:rFonts w:ascii="Times New Roman" w:hAnsi="Times New Roman" w:cs="Times New Roman"/>
                <w:sz w:val="18"/>
                <w:szCs w:val="18"/>
              </w:rPr>
              <w:t>2.11</w:t>
            </w:r>
          </w:p>
        </w:tc>
      </w:tr>
      <w:tr w:rsidR="00CC5E9A" w:rsidRPr="00686018" w:rsidTr="00C44C20">
        <w:trPr>
          <w:trHeight w:val="248"/>
          <w:jc w:val="center"/>
        </w:trPr>
        <w:tc>
          <w:tcPr>
            <w:tcW w:w="1806"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O</w:t>
            </w:r>
          </w:p>
        </w:tc>
        <w:tc>
          <w:tcPr>
            <w:tcW w:w="1360"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38</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30</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38</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62</w:t>
            </w:r>
          </w:p>
        </w:tc>
        <w:tc>
          <w:tcPr>
            <w:tcW w:w="1680" w:type="dxa"/>
            <w:noWrap/>
            <w:vAlign w:val="center"/>
            <w:hideMark/>
          </w:tcPr>
          <w:p w:rsidR="00CC5E9A" w:rsidRPr="00686018" w:rsidRDefault="00CC5E9A" w:rsidP="00C44C20">
            <w:pPr>
              <w:jc w:val="center"/>
              <w:rPr>
                <w:rFonts w:ascii="Times New Roman" w:hAnsi="Times New Roman" w:cs="Times New Roman"/>
                <w:sz w:val="18"/>
                <w:szCs w:val="18"/>
              </w:rPr>
            </w:pPr>
            <w:r w:rsidRPr="00686018">
              <w:rPr>
                <w:rFonts w:ascii="Times New Roman" w:hAnsi="Times New Roman" w:cs="Times New Roman"/>
                <w:sz w:val="18"/>
                <w:szCs w:val="18"/>
              </w:rPr>
              <w:t>12.93</w:t>
            </w:r>
          </w:p>
        </w:tc>
      </w:tr>
      <w:tr w:rsidR="00CC5E9A" w:rsidRPr="00686018" w:rsidTr="00C44C20">
        <w:trPr>
          <w:trHeight w:val="248"/>
          <w:jc w:val="center"/>
        </w:trPr>
        <w:tc>
          <w:tcPr>
            <w:tcW w:w="1806"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N</w:t>
            </w:r>
          </w:p>
        </w:tc>
        <w:tc>
          <w:tcPr>
            <w:tcW w:w="1360"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0</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41</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3</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33</w:t>
            </w:r>
          </w:p>
        </w:tc>
        <w:tc>
          <w:tcPr>
            <w:tcW w:w="1680" w:type="dxa"/>
            <w:noWrap/>
            <w:vAlign w:val="center"/>
            <w:hideMark/>
          </w:tcPr>
          <w:p w:rsidR="00CC5E9A" w:rsidRPr="00686018" w:rsidRDefault="00CC5E9A" w:rsidP="00C44C20">
            <w:pPr>
              <w:jc w:val="center"/>
              <w:rPr>
                <w:rFonts w:ascii="Times New Roman" w:hAnsi="Times New Roman" w:cs="Times New Roman"/>
                <w:sz w:val="18"/>
                <w:szCs w:val="18"/>
              </w:rPr>
            </w:pPr>
            <w:r w:rsidRPr="00686018">
              <w:rPr>
                <w:rFonts w:ascii="Times New Roman" w:hAnsi="Times New Roman" w:cs="Times New Roman"/>
                <w:sz w:val="18"/>
                <w:szCs w:val="18"/>
              </w:rPr>
              <w:t>3.36</w:t>
            </w:r>
          </w:p>
        </w:tc>
      </w:tr>
      <w:tr w:rsidR="00CC5E9A" w:rsidRPr="00686018" w:rsidTr="00C44C20">
        <w:trPr>
          <w:trHeight w:val="248"/>
          <w:jc w:val="center"/>
        </w:trPr>
        <w:tc>
          <w:tcPr>
            <w:tcW w:w="1806"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S</w:t>
            </w:r>
          </w:p>
        </w:tc>
        <w:tc>
          <w:tcPr>
            <w:tcW w:w="1360"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0</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02</w:t>
            </w:r>
          </w:p>
        </w:tc>
        <w:tc>
          <w:tcPr>
            <w:tcW w:w="1504" w:type="dxa"/>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0</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15</w:t>
            </w:r>
          </w:p>
        </w:tc>
        <w:tc>
          <w:tcPr>
            <w:tcW w:w="1680" w:type="dxa"/>
            <w:noWrap/>
            <w:vAlign w:val="center"/>
            <w:hideMark/>
          </w:tcPr>
          <w:p w:rsidR="00CC5E9A" w:rsidRPr="00686018" w:rsidRDefault="00CC5E9A" w:rsidP="00C44C20">
            <w:pPr>
              <w:jc w:val="center"/>
              <w:rPr>
                <w:rFonts w:ascii="Times New Roman" w:hAnsi="Times New Roman" w:cs="Times New Roman"/>
                <w:sz w:val="18"/>
                <w:szCs w:val="18"/>
              </w:rPr>
            </w:pPr>
            <w:r w:rsidRPr="00686018">
              <w:rPr>
                <w:rFonts w:ascii="Times New Roman" w:hAnsi="Times New Roman" w:cs="Times New Roman"/>
                <w:sz w:val="18"/>
                <w:szCs w:val="18"/>
              </w:rPr>
              <w:t>0.70</w:t>
            </w:r>
          </w:p>
        </w:tc>
      </w:tr>
      <w:tr w:rsidR="00CC5E9A" w:rsidRPr="00686018" w:rsidTr="00C44C20">
        <w:trPr>
          <w:trHeight w:val="248"/>
          <w:jc w:val="center"/>
        </w:trPr>
        <w:tc>
          <w:tcPr>
            <w:tcW w:w="1806" w:type="dxa"/>
            <w:tcBorders>
              <w:bottom w:val="single" w:sz="4" w:space="0" w:color="auto"/>
            </w:tcBorders>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C/N</w:t>
            </w:r>
          </w:p>
        </w:tc>
        <w:tc>
          <w:tcPr>
            <w:tcW w:w="1360" w:type="dxa"/>
            <w:tcBorders>
              <w:bottom w:val="single" w:sz="4" w:space="0" w:color="auto"/>
            </w:tcBorders>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w:t>
            </w:r>
          </w:p>
        </w:tc>
        <w:tc>
          <w:tcPr>
            <w:tcW w:w="1504" w:type="dxa"/>
            <w:tcBorders>
              <w:bottom w:val="single" w:sz="4" w:space="0" w:color="auto"/>
            </w:tcBorders>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100</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99</w:t>
            </w:r>
          </w:p>
        </w:tc>
        <w:tc>
          <w:tcPr>
            <w:tcW w:w="1504" w:type="dxa"/>
            <w:tcBorders>
              <w:bottom w:val="single" w:sz="4" w:space="0" w:color="auto"/>
            </w:tcBorders>
            <w:noWrap/>
            <w:vAlign w:val="center"/>
            <w:hideMark/>
          </w:tcPr>
          <w:p w:rsidR="00CC5E9A" w:rsidRPr="00686018" w:rsidRDefault="00CC5E9A" w:rsidP="00C44C20">
            <w:pPr>
              <w:jc w:val="center"/>
              <w:rPr>
                <w:rFonts w:ascii="Times New Roman" w:hAnsi="Times New Roman" w:cs="Times New Roman"/>
                <w:sz w:val="18"/>
                <w:szCs w:val="18"/>
                <w:lang w:eastAsia="es-EC"/>
              </w:rPr>
            </w:pPr>
            <w:r w:rsidRPr="00686018">
              <w:rPr>
                <w:rFonts w:ascii="Times New Roman" w:hAnsi="Times New Roman" w:cs="Times New Roman"/>
                <w:sz w:val="18"/>
                <w:szCs w:val="18"/>
                <w:lang w:eastAsia="es-EC"/>
              </w:rPr>
              <w:t>12</w:t>
            </w:r>
            <w:r w:rsidR="00DD14D0">
              <w:rPr>
                <w:rFonts w:ascii="Times New Roman" w:hAnsi="Times New Roman" w:cs="Times New Roman"/>
                <w:sz w:val="18"/>
                <w:szCs w:val="18"/>
                <w:lang w:eastAsia="es-EC"/>
              </w:rPr>
              <w:t>.</w:t>
            </w:r>
            <w:r w:rsidRPr="00686018">
              <w:rPr>
                <w:rFonts w:ascii="Times New Roman" w:hAnsi="Times New Roman" w:cs="Times New Roman"/>
                <w:sz w:val="18"/>
                <w:szCs w:val="18"/>
                <w:lang w:eastAsia="es-EC"/>
              </w:rPr>
              <w:t>93</w:t>
            </w:r>
          </w:p>
        </w:tc>
        <w:tc>
          <w:tcPr>
            <w:tcW w:w="1680" w:type="dxa"/>
            <w:tcBorders>
              <w:bottom w:val="single" w:sz="4" w:space="0" w:color="auto"/>
            </w:tcBorders>
            <w:noWrap/>
            <w:vAlign w:val="center"/>
            <w:hideMark/>
          </w:tcPr>
          <w:p w:rsidR="00CC5E9A" w:rsidRPr="00686018" w:rsidRDefault="00CC5E9A" w:rsidP="00C44C20">
            <w:pPr>
              <w:jc w:val="center"/>
              <w:rPr>
                <w:rFonts w:ascii="Times New Roman" w:hAnsi="Times New Roman" w:cs="Times New Roman"/>
                <w:sz w:val="18"/>
                <w:szCs w:val="18"/>
              </w:rPr>
            </w:pPr>
            <w:r w:rsidRPr="00686018">
              <w:rPr>
                <w:rFonts w:ascii="Times New Roman" w:hAnsi="Times New Roman" w:cs="Times New Roman"/>
                <w:sz w:val="18"/>
                <w:szCs w:val="18"/>
              </w:rPr>
              <w:t>7.46</w:t>
            </w:r>
          </w:p>
        </w:tc>
      </w:tr>
    </w:tbl>
    <w:p w:rsidR="00805597" w:rsidRPr="00686018" w:rsidRDefault="00805597"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2F621A" w:rsidRPr="00686018" w:rsidRDefault="00A81B29" w:rsidP="00A31608">
      <w:pPr>
        <w:pStyle w:val="Ttulo4"/>
        <w:numPr>
          <w:ilvl w:val="2"/>
          <w:numId w:val="4"/>
        </w:numPr>
        <w:ind w:left="505" w:hanging="505"/>
        <w:jc w:val="both"/>
        <w:rPr>
          <w:rFonts w:ascii="Times New Roman" w:hAnsi="Times New Roman" w:cs="Times New Roman"/>
          <w:i w:val="0"/>
          <w:u w:val="none"/>
          <w:lang w:eastAsia="es-EC"/>
        </w:rPr>
      </w:pPr>
      <w:bookmarkStart w:id="226" w:name="_Toc9537843"/>
      <w:r w:rsidRPr="00686018">
        <w:rPr>
          <w:rFonts w:ascii="Times New Roman" w:hAnsi="Times New Roman" w:cs="Times New Roman"/>
          <w:i w:val="0"/>
          <w:u w:val="none"/>
          <w:lang w:eastAsia="es-EC"/>
        </w:rPr>
        <w:t>Características de los Sustratos e inóculo</w:t>
      </w:r>
      <w:bookmarkEnd w:id="226"/>
    </w:p>
    <w:p w:rsidR="00A81B29" w:rsidRPr="00686018" w:rsidRDefault="00A81B29" w:rsidP="00A31608">
      <w:pPr>
        <w:jc w:val="both"/>
        <w:rPr>
          <w:rFonts w:ascii="Times New Roman" w:hAnsi="Times New Roman" w:cs="Times New Roman"/>
          <w:sz w:val="24"/>
          <w:lang w:eastAsia="es-EC"/>
        </w:rPr>
      </w:pPr>
      <w:r w:rsidRPr="00686018">
        <w:rPr>
          <w:rFonts w:ascii="Times New Roman" w:hAnsi="Times New Roman" w:cs="Times New Roman"/>
          <w:sz w:val="24"/>
          <w:lang w:eastAsia="es-EC"/>
        </w:rPr>
        <w:t>En l</w:t>
      </w:r>
      <w:r w:rsidR="00981DFA" w:rsidRPr="00686018">
        <w:rPr>
          <w:rFonts w:ascii="Times New Roman" w:hAnsi="Times New Roman" w:cs="Times New Roman"/>
          <w:sz w:val="24"/>
          <w:lang w:eastAsia="es-EC"/>
        </w:rPr>
        <w:t>a Tabla 9</w:t>
      </w:r>
      <w:r w:rsidR="00CC5E9A" w:rsidRPr="00686018">
        <w:rPr>
          <w:rFonts w:ascii="Times New Roman" w:hAnsi="Times New Roman" w:cs="Times New Roman"/>
          <w:sz w:val="24"/>
          <w:lang w:eastAsia="es-EC"/>
        </w:rPr>
        <w:t xml:space="preserve"> se observa que los sólidos volátiles</w:t>
      </w:r>
      <w:r w:rsidRPr="00686018">
        <w:rPr>
          <w:rFonts w:ascii="Times New Roman" w:hAnsi="Times New Roman" w:cs="Times New Roman"/>
          <w:sz w:val="24"/>
          <w:lang w:eastAsia="es-EC"/>
        </w:rPr>
        <w:t xml:space="preserve"> del residuo ruminal </w:t>
      </w:r>
      <w:r w:rsidR="00C657E2" w:rsidRPr="00686018">
        <w:rPr>
          <w:rFonts w:ascii="Times New Roman" w:hAnsi="Times New Roman" w:cs="Times New Roman"/>
          <w:sz w:val="24"/>
          <w:lang w:eastAsia="es-EC"/>
        </w:rPr>
        <w:t xml:space="preserve">y paja de trigo </w:t>
      </w:r>
      <w:r w:rsidRPr="00686018">
        <w:rPr>
          <w:rFonts w:ascii="Times New Roman" w:hAnsi="Times New Roman" w:cs="Times New Roman"/>
          <w:sz w:val="24"/>
          <w:lang w:eastAsia="es-EC"/>
        </w:rPr>
        <w:t>es</w:t>
      </w:r>
      <w:r w:rsidR="00C657E2" w:rsidRPr="00686018">
        <w:rPr>
          <w:rFonts w:ascii="Times New Roman" w:hAnsi="Times New Roman" w:cs="Times New Roman"/>
          <w:sz w:val="24"/>
          <w:lang w:eastAsia="es-EC"/>
        </w:rPr>
        <w:t xml:space="preserve"> respectivamente,</w:t>
      </w:r>
      <w:r w:rsidRPr="00686018">
        <w:rPr>
          <w:rFonts w:ascii="Times New Roman" w:hAnsi="Times New Roman" w:cs="Times New Roman"/>
          <w:sz w:val="24"/>
          <w:lang w:eastAsia="es-EC"/>
        </w:rPr>
        <w:t xml:space="preserve"> </w:t>
      </w:r>
      <w:r w:rsidR="00DF7D54" w:rsidRPr="00686018">
        <w:rPr>
          <w:rFonts w:ascii="Times New Roman" w:hAnsi="Times New Roman" w:cs="Times New Roman"/>
          <w:sz w:val="24"/>
          <w:lang w:eastAsia="es-EC"/>
        </w:rPr>
        <w:t>70.74% y 74.</w:t>
      </w:r>
      <w:r w:rsidR="00C657E2" w:rsidRPr="00686018">
        <w:rPr>
          <w:rFonts w:ascii="Times New Roman" w:hAnsi="Times New Roman" w:cs="Times New Roman"/>
          <w:sz w:val="24"/>
          <w:lang w:eastAsia="es-EC"/>
        </w:rPr>
        <w:t xml:space="preserve">79%; </w:t>
      </w:r>
      <w:r w:rsidRPr="00686018">
        <w:rPr>
          <w:rFonts w:ascii="Times New Roman" w:hAnsi="Times New Roman" w:cs="Times New Roman"/>
          <w:sz w:val="24"/>
          <w:lang w:eastAsia="es-EC"/>
        </w:rPr>
        <w:t xml:space="preserve">esto indica que </w:t>
      </w:r>
      <w:r w:rsidR="00C657E2" w:rsidRPr="00686018">
        <w:rPr>
          <w:rFonts w:ascii="Times New Roman" w:hAnsi="Times New Roman" w:cs="Times New Roman"/>
          <w:sz w:val="24"/>
          <w:lang w:eastAsia="es-EC"/>
        </w:rPr>
        <w:t xml:space="preserve">ambos sustratos poseen un contenido moderado de sólidos volátiles, equivalentes a </w:t>
      </w:r>
      <w:r w:rsidRPr="00686018">
        <w:rPr>
          <w:rFonts w:ascii="Times New Roman" w:hAnsi="Times New Roman" w:cs="Times New Roman"/>
          <w:sz w:val="24"/>
          <w:lang w:eastAsia="es-EC"/>
        </w:rPr>
        <w:t xml:space="preserve">un contenido </w:t>
      </w:r>
      <w:r w:rsidR="00600336" w:rsidRPr="00686018">
        <w:rPr>
          <w:rFonts w:ascii="Times New Roman" w:hAnsi="Times New Roman" w:cs="Times New Roman"/>
          <w:sz w:val="24"/>
          <w:lang w:eastAsia="es-EC"/>
        </w:rPr>
        <w:t xml:space="preserve">normal </w:t>
      </w:r>
      <w:r w:rsidRPr="00686018">
        <w:rPr>
          <w:rFonts w:ascii="Times New Roman" w:hAnsi="Times New Roman" w:cs="Times New Roman"/>
          <w:sz w:val="24"/>
          <w:lang w:eastAsia="es-EC"/>
        </w:rPr>
        <w:t>de materia orgánica</w:t>
      </w:r>
      <w:r w:rsidR="00C657E2" w:rsidRPr="00686018">
        <w:rPr>
          <w:rFonts w:ascii="Times New Roman" w:hAnsi="Times New Roman" w:cs="Times New Roman"/>
          <w:sz w:val="24"/>
          <w:lang w:eastAsia="es-EC"/>
        </w:rPr>
        <w:t xml:space="preserve"> disponibles para la digestión anaerobia</w:t>
      </w:r>
      <w:r w:rsidRPr="00686018">
        <w:rPr>
          <w:rFonts w:ascii="Times New Roman" w:hAnsi="Times New Roman" w:cs="Times New Roman"/>
          <w:sz w:val="24"/>
          <w:lang w:eastAsia="es-EC"/>
        </w:rPr>
        <w:t xml:space="preserve">. </w:t>
      </w:r>
      <w:r w:rsidR="00C657E2" w:rsidRPr="00686018">
        <w:rPr>
          <w:rFonts w:ascii="Times New Roman" w:hAnsi="Times New Roman" w:cs="Times New Roman"/>
          <w:sz w:val="24"/>
          <w:lang w:eastAsia="es-EC"/>
        </w:rPr>
        <w:t xml:space="preserve">Los </w:t>
      </w:r>
      <w:r w:rsidR="00600336" w:rsidRPr="00686018">
        <w:rPr>
          <w:rFonts w:ascii="Times New Roman" w:hAnsi="Times New Roman" w:cs="Times New Roman"/>
          <w:sz w:val="24"/>
          <w:lang w:eastAsia="es-EC"/>
        </w:rPr>
        <w:t xml:space="preserve">bajos </w:t>
      </w:r>
      <w:r w:rsidR="00C657E2" w:rsidRPr="00686018">
        <w:rPr>
          <w:rFonts w:ascii="Times New Roman" w:hAnsi="Times New Roman" w:cs="Times New Roman"/>
          <w:sz w:val="24"/>
          <w:lang w:eastAsia="es-EC"/>
        </w:rPr>
        <w:t>porcentajes de cenizas para ambos sustratos (</w:t>
      </w:r>
      <w:r w:rsidR="00DF7D54" w:rsidRPr="00686018">
        <w:rPr>
          <w:rFonts w:ascii="Times New Roman" w:hAnsi="Times New Roman" w:cs="Times New Roman"/>
          <w:sz w:val="24"/>
          <w:lang w:eastAsia="es-EC"/>
        </w:rPr>
        <w:t>12.</w:t>
      </w:r>
      <w:r w:rsidR="00600336" w:rsidRPr="00686018">
        <w:rPr>
          <w:rFonts w:ascii="Times New Roman" w:hAnsi="Times New Roman" w:cs="Times New Roman"/>
          <w:sz w:val="24"/>
          <w:lang w:eastAsia="es-EC"/>
        </w:rPr>
        <w:t xml:space="preserve">81% y 8.45% respectivamente), justifican el bajo </w:t>
      </w:r>
      <w:r w:rsidRPr="00686018">
        <w:rPr>
          <w:rFonts w:ascii="Times New Roman" w:hAnsi="Times New Roman" w:cs="Times New Roman"/>
          <w:sz w:val="24"/>
          <w:lang w:eastAsia="es-EC"/>
        </w:rPr>
        <w:t xml:space="preserve">contenido de sólidos volátiles de </w:t>
      </w:r>
      <w:r w:rsidR="00600336" w:rsidRPr="00686018">
        <w:rPr>
          <w:rFonts w:ascii="Times New Roman" w:hAnsi="Times New Roman" w:cs="Times New Roman"/>
          <w:sz w:val="24"/>
          <w:lang w:eastAsia="es-EC"/>
        </w:rPr>
        <w:t>estos sustratos y una cantidad elevada de minerales.</w:t>
      </w:r>
      <w:r w:rsidR="00C36C19" w:rsidRPr="00686018">
        <w:rPr>
          <w:rFonts w:ascii="Times New Roman" w:hAnsi="Times New Roman" w:cs="Times New Roman"/>
          <w:sz w:val="24"/>
          <w:lang w:eastAsia="es-EC"/>
        </w:rPr>
        <w:t xml:space="preserve"> </w:t>
      </w:r>
      <w:r w:rsidR="00020FD1" w:rsidRPr="00686018">
        <w:rPr>
          <w:rFonts w:ascii="Times New Roman" w:hAnsi="Times New Roman" w:cs="Times New Roman"/>
          <w:sz w:val="24"/>
          <w:lang w:eastAsia="es-EC"/>
        </w:rPr>
        <w:t>Así mismo</w:t>
      </w:r>
      <w:r w:rsidR="00C36C19" w:rsidRPr="00686018">
        <w:rPr>
          <w:rFonts w:ascii="Times New Roman" w:hAnsi="Times New Roman" w:cs="Times New Roman"/>
          <w:sz w:val="24"/>
          <w:lang w:eastAsia="es-EC"/>
        </w:rPr>
        <w:t>, el inoculo analizado posee 58.49% de SV y 55.59% de cenizas, confirmando un alto contenido de materia orgánica disponible, esto se justifica debido a que existen microorganismos viables y no viables, así como también restos de materia orgánica que viene acompañada en el medio analizado.</w:t>
      </w:r>
    </w:p>
    <w:p w:rsidR="00A81B29" w:rsidRPr="00686018" w:rsidRDefault="00A81B29" w:rsidP="00A31608">
      <w:pPr>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La relación C/N de los </w:t>
      </w:r>
      <w:r w:rsidR="004964B2" w:rsidRPr="00686018">
        <w:rPr>
          <w:rFonts w:ascii="Times New Roman" w:hAnsi="Times New Roman" w:cs="Times New Roman"/>
          <w:sz w:val="24"/>
          <w:lang w:eastAsia="es-EC"/>
        </w:rPr>
        <w:t>sustratos</w:t>
      </w:r>
      <w:r w:rsidRPr="00686018">
        <w:rPr>
          <w:rFonts w:ascii="Times New Roman" w:hAnsi="Times New Roman" w:cs="Times New Roman"/>
          <w:sz w:val="24"/>
          <w:lang w:eastAsia="es-EC"/>
        </w:rPr>
        <w:t xml:space="preserve"> </w:t>
      </w:r>
      <w:r w:rsidR="00600336" w:rsidRPr="00686018">
        <w:rPr>
          <w:rFonts w:ascii="Times New Roman" w:hAnsi="Times New Roman" w:cs="Times New Roman"/>
          <w:sz w:val="24"/>
          <w:lang w:eastAsia="es-EC"/>
        </w:rPr>
        <w:t xml:space="preserve">es </w:t>
      </w:r>
      <w:r w:rsidR="00CC3CB7" w:rsidRPr="00686018">
        <w:rPr>
          <w:rFonts w:ascii="Times New Roman" w:hAnsi="Times New Roman" w:cs="Times New Roman"/>
          <w:sz w:val="24"/>
          <w:lang w:eastAsia="es-EC"/>
        </w:rPr>
        <w:t>100.99</w:t>
      </w:r>
      <w:r w:rsidR="002D2BE9" w:rsidRPr="00686018">
        <w:rPr>
          <w:rFonts w:ascii="Times New Roman" w:hAnsi="Times New Roman" w:cs="Times New Roman"/>
          <w:sz w:val="24"/>
          <w:lang w:eastAsia="es-EC"/>
        </w:rPr>
        <w:t xml:space="preserve"> y 12.</w:t>
      </w:r>
      <w:r w:rsidR="00B978E4" w:rsidRPr="00686018">
        <w:rPr>
          <w:rFonts w:ascii="Times New Roman" w:hAnsi="Times New Roman" w:cs="Times New Roman"/>
          <w:sz w:val="24"/>
          <w:lang w:eastAsia="es-EC"/>
        </w:rPr>
        <w:t>93</w:t>
      </w:r>
      <w:r w:rsidR="002D2BE9" w:rsidRPr="00686018">
        <w:rPr>
          <w:rFonts w:ascii="Times New Roman" w:hAnsi="Times New Roman" w:cs="Times New Roman"/>
          <w:sz w:val="24"/>
          <w:lang w:eastAsia="es-EC"/>
        </w:rPr>
        <w:t xml:space="preserve"> para el residuo ruminal y paja de trigo, respectivamente</w:t>
      </w:r>
      <w:r w:rsidRPr="00686018">
        <w:rPr>
          <w:rFonts w:ascii="Times New Roman" w:hAnsi="Times New Roman" w:cs="Times New Roman"/>
          <w:sz w:val="24"/>
          <w:lang w:eastAsia="es-EC"/>
        </w:rPr>
        <w:t xml:space="preserve">, </w:t>
      </w:r>
      <w:r w:rsidR="006B073A" w:rsidRPr="00686018">
        <w:rPr>
          <w:rFonts w:ascii="Times New Roman" w:hAnsi="Times New Roman" w:cs="Times New Roman"/>
          <w:sz w:val="24"/>
          <w:lang w:eastAsia="es-EC"/>
        </w:rPr>
        <w:t>e</w:t>
      </w:r>
      <w:r w:rsidR="002D2BE9" w:rsidRPr="00686018">
        <w:rPr>
          <w:rFonts w:ascii="Times New Roman" w:hAnsi="Times New Roman" w:cs="Times New Roman"/>
          <w:sz w:val="24"/>
          <w:lang w:eastAsia="es-EC"/>
        </w:rPr>
        <w:t xml:space="preserve">stos valores </w:t>
      </w:r>
      <w:r w:rsidR="00B11ADD" w:rsidRPr="00686018">
        <w:rPr>
          <w:rFonts w:ascii="Times New Roman" w:hAnsi="Times New Roman" w:cs="Times New Roman"/>
          <w:sz w:val="24"/>
          <w:lang w:eastAsia="es-EC"/>
        </w:rPr>
        <w:t xml:space="preserve">podrían </w:t>
      </w:r>
      <w:r w:rsidR="002D2BE9" w:rsidRPr="00686018">
        <w:rPr>
          <w:rFonts w:ascii="Times New Roman" w:hAnsi="Times New Roman" w:cs="Times New Roman"/>
          <w:sz w:val="24"/>
          <w:lang w:eastAsia="es-EC"/>
        </w:rPr>
        <w:t xml:space="preserve">generan un amplio rango de relaciones C/N disponibles </w:t>
      </w:r>
      <w:r w:rsidR="00B11ADD" w:rsidRPr="00686018">
        <w:rPr>
          <w:rFonts w:ascii="Times New Roman" w:hAnsi="Times New Roman" w:cs="Times New Roman"/>
          <w:sz w:val="24"/>
          <w:lang w:eastAsia="es-EC"/>
        </w:rPr>
        <w:t>en</w:t>
      </w:r>
      <w:r w:rsidR="002D2BE9" w:rsidRPr="00686018">
        <w:rPr>
          <w:rFonts w:ascii="Times New Roman" w:hAnsi="Times New Roman" w:cs="Times New Roman"/>
          <w:sz w:val="24"/>
          <w:lang w:eastAsia="es-EC"/>
        </w:rPr>
        <w:t xml:space="preserve"> codigestión anaerobia de ambos sustratos</w:t>
      </w:r>
      <w:r w:rsidR="00B11ADD" w:rsidRPr="00686018">
        <w:rPr>
          <w:rFonts w:ascii="Times New Roman" w:hAnsi="Times New Roman" w:cs="Times New Roman"/>
          <w:sz w:val="24"/>
          <w:lang w:eastAsia="es-EC"/>
        </w:rPr>
        <w:t xml:space="preserve">, </w:t>
      </w:r>
      <w:r w:rsidR="00054105" w:rsidRPr="00686018">
        <w:rPr>
          <w:rFonts w:ascii="Times New Roman" w:hAnsi="Times New Roman" w:cs="Times New Roman"/>
          <w:sz w:val="24"/>
          <w:lang w:eastAsia="es-EC"/>
        </w:rPr>
        <w:t>en comparación a la monodigestión de cada sustrato solo</w:t>
      </w:r>
      <w:r w:rsidR="002D2BE9" w:rsidRPr="00686018">
        <w:rPr>
          <w:rFonts w:ascii="Times New Roman" w:hAnsi="Times New Roman" w:cs="Times New Roman"/>
          <w:sz w:val="24"/>
          <w:lang w:eastAsia="es-EC"/>
        </w:rPr>
        <w:t>. Por una aparte, el residuo ruminal aporta una gran cantidad de carbono degradable al medio, debido a su elevada relación C/N. Mientras que la paja de trigo suple de nitrógeno al sistema, esto por su baja relación C/N.  La alta relación C/N del residuo ruminal</w:t>
      </w:r>
      <w:r w:rsidRPr="00686018">
        <w:rPr>
          <w:rFonts w:ascii="Times New Roman" w:hAnsi="Times New Roman" w:cs="Times New Roman"/>
          <w:sz w:val="24"/>
          <w:lang w:eastAsia="es-EC"/>
        </w:rPr>
        <w:t xml:space="preserve">, así como </w:t>
      </w:r>
      <w:r w:rsidRPr="00686018">
        <w:rPr>
          <w:rFonts w:ascii="Times New Roman" w:hAnsi="Times New Roman" w:cs="Times New Roman"/>
          <w:sz w:val="24"/>
          <w:lang w:eastAsia="es-EC"/>
        </w:rPr>
        <w:lastRenderedPageBreak/>
        <w:t>su alto contenido de materia orgánica son propiedades que generan ventajas al mezclar</w:t>
      </w:r>
      <w:r w:rsidR="002D2BE9" w:rsidRPr="00686018">
        <w:rPr>
          <w:rFonts w:ascii="Times New Roman" w:hAnsi="Times New Roman" w:cs="Times New Roman"/>
          <w:sz w:val="24"/>
          <w:lang w:eastAsia="es-EC"/>
        </w:rPr>
        <w:t>lo con paja de trigo, un sustrato con mucho nitrógeno disponible.</w:t>
      </w:r>
      <w:r w:rsidR="004964B2" w:rsidRPr="00686018">
        <w:rPr>
          <w:rFonts w:ascii="Times New Roman" w:hAnsi="Times New Roman" w:cs="Times New Roman"/>
          <w:sz w:val="24"/>
          <w:lang w:eastAsia="es-EC"/>
        </w:rPr>
        <w:t xml:space="preserve"> En definitiva, la codigestión de ambos sustratos </w:t>
      </w:r>
      <w:r w:rsidR="006B073A" w:rsidRPr="00686018">
        <w:rPr>
          <w:rFonts w:ascii="Times New Roman" w:hAnsi="Times New Roman" w:cs="Times New Roman"/>
          <w:sz w:val="24"/>
          <w:lang w:eastAsia="es-EC"/>
        </w:rPr>
        <w:t xml:space="preserve">podría </w:t>
      </w:r>
      <w:r w:rsidR="004964B2" w:rsidRPr="00686018">
        <w:rPr>
          <w:rFonts w:ascii="Times New Roman" w:hAnsi="Times New Roman" w:cs="Times New Roman"/>
          <w:sz w:val="24"/>
          <w:lang w:eastAsia="es-EC"/>
        </w:rPr>
        <w:t xml:space="preserve">mejora </w:t>
      </w:r>
      <w:r w:rsidRPr="00686018">
        <w:rPr>
          <w:rFonts w:ascii="Times New Roman" w:hAnsi="Times New Roman" w:cs="Times New Roman"/>
          <w:sz w:val="24"/>
          <w:lang w:eastAsia="es-EC"/>
        </w:rPr>
        <w:t xml:space="preserve">el balance de nutrientes en el </w:t>
      </w:r>
      <w:r w:rsidR="004964B2" w:rsidRPr="00686018">
        <w:rPr>
          <w:rFonts w:ascii="Times New Roman" w:hAnsi="Times New Roman" w:cs="Times New Roman"/>
          <w:sz w:val="24"/>
          <w:lang w:eastAsia="es-EC"/>
        </w:rPr>
        <w:t xml:space="preserve">digestor y </w:t>
      </w:r>
      <w:r w:rsidRPr="00686018">
        <w:rPr>
          <w:rFonts w:ascii="Times New Roman" w:hAnsi="Times New Roman" w:cs="Times New Roman"/>
          <w:sz w:val="24"/>
          <w:lang w:eastAsia="es-EC"/>
        </w:rPr>
        <w:t>au</w:t>
      </w:r>
      <w:r w:rsidR="004964B2" w:rsidRPr="00686018">
        <w:rPr>
          <w:rFonts w:ascii="Times New Roman" w:hAnsi="Times New Roman" w:cs="Times New Roman"/>
          <w:sz w:val="24"/>
          <w:lang w:eastAsia="es-EC"/>
        </w:rPr>
        <w:t>menta</w:t>
      </w:r>
      <w:r w:rsidR="006B073A" w:rsidRPr="00686018">
        <w:rPr>
          <w:rFonts w:ascii="Times New Roman" w:hAnsi="Times New Roman" w:cs="Times New Roman"/>
          <w:sz w:val="24"/>
          <w:lang w:eastAsia="es-EC"/>
        </w:rPr>
        <w:t>r</w:t>
      </w:r>
      <w:r w:rsidR="004964B2" w:rsidRPr="00686018">
        <w:rPr>
          <w:rFonts w:ascii="Times New Roman" w:hAnsi="Times New Roman" w:cs="Times New Roman"/>
          <w:sz w:val="24"/>
          <w:lang w:eastAsia="es-EC"/>
        </w:rPr>
        <w:t xml:space="preserve"> </w:t>
      </w:r>
      <w:r w:rsidRPr="00686018">
        <w:rPr>
          <w:rFonts w:ascii="Times New Roman" w:hAnsi="Times New Roman" w:cs="Times New Roman"/>
          <w:sz w:val="24"/>
          <w:lang w:eastAsia="es-EC"/>
        </w:rPr>
        <w:t xml:space="preserve">la cantidad de materia orgánica degradable, lo cual conlleva al incremento de la </w:t>
      </w:r>
      <w:r w:rsidR="004964B2" w:rsidRPr="00686018">
        <w:rPr>
          <w:rFonts w:ascii="Times New Roman" w:hAnsi="Times New Roman" w:cs="Times New Roman"/>
          <w:sz w:val="24"/>
          <w:lang w:eastAsia="es-EC"/>
        </w:rPr>
        <w:t>producción de metano</w:t>
      </w:r>
      <w:r w:rsidRPr="00686018">
        <w:rPr>
          <w:rFonts w:ascii="Times New Roman" w:hAnsi="Times New Roman" w:cs="Times New Roman"/>
          <w:sz w:val="24"/>
          <w:lang w:eastAsia="es-EC"/>
        </w:rPr>
        <w:t>.</w:t>
      </w:r>
    </w:p>
    <w:p w:rsidR="00E86202" w:rsidRPr="00686018" w:rsidRDefault="00B11ADD" w:rsidP="00A31608">
      <w:pPr>
        <w:jc w:val="both"/>
        <w:rPr>
          <w:rFonts w:ascii="Times New Roman" w:hAnsi="Times New Roman" w:cs="Times New Roman"/>
          <w:sz w:val="24"/>
          <w:lang w:eastAsia="es-EC"/>
        </w:rPr>
      </w:pPr>
      <w:r w:rsidRPr="00686018">
        <w:rPr>
          <w:rFonts w:ascii="Times New Roman" w:hAnsi="Times New Roman" w:cs="Times New Roman"/>
          <w:sz w:val="24"/>
          <w:lang w:eastAsia="es-EC"/>
        </w:rPr>
        <w:t>Basada en su composición elemental, el residuo ruminal y paja de trigo podrían ser representados por sus fórmulas empíricas: C</w:t>
      </w:r>
      <w:r w:rsidRPr="00686018">
        <w:rPr>
          <w:rFonts w:ascii="Times New Roman" w:hAnsi="Times New Roman" w:cs="Times New Roman"/>
          <w:sz w:val="24"/>
          <w:vertAlign w:val="subscript"/>
          <w:lang w:eastAsia="es-EC"/>
        </w:rPr>
        <w:t>120</w:t>
      </w:r>
      <w:r w:rsidRPr="00686018">
        <w:rPr>
          <w:rFonts w:ascii="Times New Roman" w:hAnsi="Times New Roman" w:cs="Times New Roman"/>
          <w:sz w:val="24"/>
          <w:lang w:eastAsia="es-EC"/>
        </w:rPr>
        <w:t>H</w:t>
      </w:r>
      <w:r w:rsidRPr="00686018">
        <w:rPr>
          <w:rFonts w:ascii="Times New Roman" w:hAnsi="Times New Roman" w:cs="Times New Roman"/>
          <w:sz w:val="24"/>
          <w:vertAlign w:val="subscript"/>
          <w:lang w:eastAsia="es-EC"/>
        </w:rPr>
        <w:t>215</w:t>
      </w:r>
      <w:r w:rsidRPr="00686018">
        <w:rPr>
          <w:rFonts w:ascii="Times New Roman" w:hAnsi="Times New Roman" w:cs="Times New Roman"/>
          <w:sz w:val="24"/>
          <w:lang w:eastAsia="es-EC"/>
        </w:rPr>
        <w:t>O</w:t>
      </w:r>
      <w:r w:rsidRPr="00686018">
        <w:rPr>
          <w:rFonts w:ascii="Times New Roman" w:hAnsi="Times New Roman" w:cs="Times New Roman"/>
          <w:sz w:val="24"/>
          <w:vertAlign w:val="subscript"/>
          <w:lang w:eastAsia="es-EC"/>
        </w:rPr>
        <w:t>82</w:t>
      </w:r>
      <w:r w:rsidRPr="00686018">
        <w:rPr>
          <w:rFonts w:ascii="Times New Roman" w:hAnsi="Times New Roman" w:cs="Times New Roman"/>
          <w:sz w:val="24"/>
          <w:lang w:eastAsia="es-EC"/>
        </w:rPr>
        <w:t>N y C</w:t>
      </w:r>
      <w:r w:rsidRPr="00686018">
        <w:rPr>
          <w:rFonts w:ascii="Times New Roman" w:hAnsi="Times New Roman" w:cs="Times New Roman"/>
          <w:sz w:val="24"/>
          <w:vertAlign w:val="subscript"/>
          <w:lang w:eastAsia="es-EC"/>
        </w:rPr>
        <w:t>15</w:t>
      </w:r>
      <w:r w:rsidRPr="00686018">
        <w:rPr>
          <w:rFonts w:ascii="Times New Roman" w:hAnsi="Times New Roman" w:cs="Times New Roman"/>
          <w:sz w:val="24"/>
          <w:lang w:eastAsia="es-EC"/>
        </w:rPr>
        <w:t>H</w:t>
      </w:r>
      <w:r w:rsidRPr="00686018">
        <w:rPr>
          <w:rFonts w:ascii="Times New Roman" w:hAnsi="Times New Roman" w:cs="Times New Roman"/>
          <w:sz w:val="24"/>
          <w:vertAlign w:val="subscript"/>
          <w:lang w:eastAsia="es-EC"/>
        </w:rPr>
        <w:t>27</w:t>
      </w:r>
      <w:r w:rsidRPr="00686018">
        <w:rPr>
          <w:rFonts w:ascii="Times New Roman" w:hAnsi="Times New Roman" w:cs="Times New Roman"/>
          <w:sz w:val="24"/>
          <w:lang w:eastAsia="es-EC"/>
        </w:rPr>
        <w:t>O</w:t>
      </w:r>
      <w:r w:rsidRPr="00686018">
        <w:rPr>
          <w:rFonts w:ascii="Times New Roman" w:hAnsi="Times New Roman" w:cs="Times New Roman"/>
          <w:sz w:val="24"/>
          <w:vertAlign w:val="subscript"/>
          <w:lang w:eastAsia="es-EC"/>
        </w:rPr>
        <w:t>10</w:t>
      </w:r>
      <w:r w:rsidRPr="00686018">
        <w:rPr>
          <w:rFonts w:ascii="Times New Roman" w:hAnsi="Times New Roman" w:cs="Times New Roman"/>
          <w:sz w:val="24"/>
          <w:lang w:eastAsia="es-EC"/>
        </w:rPr>
        <w:t>N</w:t>
      </w:r>
      <w:r w:rsidR="00054105" w:rsidRPr="00686018">
        <w:rPr>
          <w:rFonts w:ascii="Times New Roman" w:hAnsi="Times New Roman" w:cs="Times New Roman"/>
          <w:sz w:val="24"/>
          <w:lang w:eastAsia="es-EC"/>
        </w:rPr>
        <w:t xml:space="preserve"> respectivamente, mismos que ayudan a estimar el rendimiento de metano teórico individual</w:t>
      </w:r>
      <w:r w:rsidR="00CC3CB7" w:rsidRPr="00686018">
        <w:rPr>
          <w:rFonts w:ascii="Times New Roman" w:hAnsi="Times New Roman" w:cs="Times New Roman"/>
          <w:sz w:val="24"/>
          <w:lang w:eastAsia="es-EC"/>
        </w:rPr>
        <w:t xml:space="preserve"> </w:t>
      </w:r>
      <w:r w:rsidR="00884E79" w:rsidRPr="00686018">
        <w:rPr>
          <w:rFonts w:ascii="Times New Roman" w:hAnsi="Times New Roman" w:cs="Times New Roman"/>
          <w:sz w:val="24"/>
          <w:lang w:eastAsia="es-EC"/>
        </w:rPr>
        <w:t xml:space="preserve">y la biodegradabilidad </w:t>
      </w:r>
      <w:r w:rsidR="00CC3CB7" w:rsidRPr="00686018">
        <w:rPr>
          <w:rFonts w:ascii="Times New Roman" w:hAnsi="Times New Roman" w:cs="Times New Roman"/>
          <w:sz w:val="24"/>
          <w:lang w:eastAsia="es-EC"/>
        </w:rPr>
        <w:t xml:space="preserve">como se indica en la </w:t>
      </w:r>
      <w:r w:rsidR="00CC3CB7" w:rsidRPr="00686018">
        <w:rPr>
          <w:rFonts w:ascii="Times New Roman" w:hAnsi="Times New Roman" w:cs="Times New Roman"/>
          <w:b/>
          <w:sz w:val="24"/>
          <w:lang w:eastAsia="es-EC"/>
        </w:rPr>
        <w:t>sección 5.4</w:t>
      </w:r>
      <w:r w:rsidR="006B073A" w:rsidRPr="00686018">
        <w:rPr>
          <w:rFonts w:ascii="Times New Roman" w:hAnsi="Times New Roman" w:cs="Times New Roman"/>
          <w:sz w:val="24"/>
          <w:lang w:eastAsia="es-EC"/>
        </w:rPr>
        <w:t>.</w:t>
      </w:r>
    </w:p>
    <w:p w:rsidR="002F621A" w:rsidRPr="00686018" w:rsidRDefault="00AB5EA9" w:rsidP="00A31608">
      <w:pPr>
        <w:pStyle w:val="Ttulo3"/>
        <w:numPr>
          <w:ilvl w:val="1"/>
          <w:numId w:val="4"/>
        </w:numPr>
        <w:ind w:left="431" w:hanging="431"/>
        <w:jc w:val="both"/>
        <w:rPr>
          <w:rFonts w:ascii="Times New Roman" w:hAnsi="Times New Roman" w:cs="Times New Roman"/>
          <w:i w:val="0"/>
          <w:lang w:eastAsia="es-EC"/>
        </w:rPr>
      </w:pPr>
      <w:bookmarkStart w:id="227" w:name="_Toc9537844"/>
      <w:r w:rsidRPr="00686018">
        <w:rPr>
          <w:rFonts w:ascii="Times New Roman" w:hAnsi="Times New Roman" w:cs="Times New Roman"/>
          <w:i w:val="0"/>
          <w:lang w:eastAsia="es-EC"/>
        </w:rPr>
        <w:t>Producción de biogás y metano</w:t>
      </w:r>
      <w:bookmarkEnd w:id="227"/>
    </w:p>
    <w:p w:rsidR="005E53C5" w:rsidRPr="00686018" w:rsidRDefault="005E53C5" w:rsidP="00A31608">
      <w:pPr>
        <w:jc w:val="both"/>
        <w:rPr>
          <w:rFonts w:ascii="Times New Roman" w:hAnsi="Times New Roman" w:cs="Times New Roman"/>
          <w:lang w:eastAsia="es-EC"/>
        </w:rPr>
      </w:pPr>
      <w:r w:rsidRPr="00686018">
        <w:rPr>
          <w:rFonts w:ascii="Times New Roman" w:hAnsi="Times New Roman" w:cs="Times New Roman"/>
          <w:sz w:val="24"/>
          <w:lang w:eastAsia="es-EC"/>
        </w:rPr>
        <w:t xml:space="preserve">El objetivo de esta investigación fue determinar el rendimiento de biogás cuando se opera a diferentes razones de inoculo a sustrato (I:S) y razones diferentes de residuo ruminal </w:t>
      </w:r>
      <w:r w:rsidR="00C44C20">
        <w:rPr>
          <w:rFonts w:ascii="Times New Roman" w:hAnsi="Times New Roman" w:cs="Times New Roman"/>
          <w:sz w:val="24"/>
          <w:lang w:eastAsia="es-EC"/>
        </w:rPr>
        <w:t xml:space="preserve">así también </w:t>
      </w:r>
      <w:r w:rsidRPr="00686018">
        <w:rPr>
          <w:rFonts w:ascii="Times New Roman" w:hAnsi="Times New Roman" w:cs="Times New Roman"/>
          <w:sz w:val="24"/>
          <w:lang w:eastAsia="es-EC"/>
        </w:rPr>
        <w:t xml:space="preserve"> paja de trigo (RE:TR). Por esta razón es importante evaluar el rendimiento del proceso en términos de composición y producción de biogás en monodigestión y codigestión.</w:t>
      </w:r>
    </w:p>
    <w:p w:rsidR="00032A12" w:rsidRPr="00686018" w:rsidRDefault="00032A12" w:rsidP="00A31608">
      <w:pPr>
        <w:pStyle w:val="Ttulo4"/>
        <w:numPr>
          <w:ilvl w:val="2"/>
          <w:numId w:val="4"/>
        </w:numPr>
        <w:ind w:left="505" w:hanging="505"/>
        <w:jc w:val="both"/>
        <w:rPr>
          <w:rFonts w:ascii="Times New Roman" w:hAnsi="Times New Roman" w:cs="Times New Roman"/>
          <w:i w:val="0"/>
          <w:u w:val="none"/>
          <w:lang w:eastAsia="es-EC"/>
        </w:rPr>
      </w:pPr>
      <w:bookmarkStart w:id="228" w:name="_Toc9537845"/>
      <w:r w:rsidRPr="00686018">
        <w:rPr>
          <w:rFonts w:ascii="Times New Roman" w:hAnsi="Times New Roman" w:cs="Times New Roman"/>
          <w:i w:val="0"/>
          <w:u w:val="none"/>
          <w:lang w:eastAsia="es-EC"/>
        </w:rPr>
        <w:t>Rendimiento de biogás diario para razones diferentes de I:S y RE:TR</w:t>
      </w:r>
      <w:bookmarkEnd w:id="228"/>
    </w:p>
    <w:p w:rsidR="00860D8D" w:rsidRPr="00686018" w:rsidRDefault="004C6FCD"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Cuando la cantidad de inóculo cargado al digestor fue 66.67% </w:t>
      </w:r>
      <w:r w:rsidR="006E31EF">
        <w:rPr>
          <w:rFonts w:ascii="Times New Roman" w:hAnsi="Times New Roman" w:cs="Times New Roman"/>
          <w:b/>
          <w:sz w:val="24"/>
          <w:lang w:eastAsia="es-EC"/>
        </w:rPr>
        <w:t>(figura 18</w:t>
      </w:r>
      <w:r w:rsidRPr="00686018">
        <w:rPr>
          <w:rFonts w:ascii="Times New Roman" w:hAnsi="Times New Roman" w:cs="Times New Roman"/>
          <w:b/>
          <w:sz w:val="24"/>
          <w:lang w:eastAsia="es-EC"/>
        </w:rPr>
        <w:t>A)</w:t>
      </w:r>
      <w:r w:rsidR="009362BC" w:rsidRPr="00686018">
        <w:rPr>
          <w:rFonts w:ascii="Times New Roman" w:hAnsi="Times New Roman" w:cs="Times New Roman"/>
          <w:b/>
          <w:sz w:val="24"/>
          <w:lang w:eastAsia="es-EC"/>
        </w:rPr>
        <w:t>,</w:t>
      </w:r>
      <w:r w:rsidRPr="00686018">
        <w:rPr>
          <w:rFonts w:ascii="Times New Roman" w:hAnsi="Times New Roman" w:cs="Times New Roman"/>
          <w:sz w:val="24"/>
          <w:lang w:eastAsia="es-EC"/>
        </w:rPr>
        <w:t xml:space="preserve"> los picos más altos fueron identificados en la monodigestión de RE (50.279</w:t>
      </w:r>
      <w:r w:rsidR="00DD14D0">
        <w:rPr>
          <w:rFonts w:ascii="Times New Roman" w:hAnsi="Times New Roman" w:cs="Times New Roman"/>
          <w:sz w:val="24"/>
          <w:lang w:eastAsia="es-EC"/>
        </w:rPr>
        <w:t>mL</w:t>
      </w:r>
      <w:r w:rsidR="00C44C20">
        <w:rPr>
          <w:rFonts w:ascii="Times New Roman" w:hAnsi="Times New Roman" w:cs="Times New Roman"/>
          <w:sz w:val="24"/>
          <w:lang w:eastAsia="es-EC"/>
        </w:rPr>
        <w:t>/g-SV) y TR (49.240</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/g-SV) al</w:t>
      </w:r>
      <w:r w:rsidR="00A56FF3" w:rsidRPr="00686018">
        <w:rPr>
          <w:rFonts w:ascii="Times New Roman" w:hAnsi="Times New Roman" w:cs="Times New Roman"/>
          <w:sz w:val="24"/>
          <w:lang w:eastAsia="es-EC"/>
        </w:rPr>
        <w:t xml:space="preserve"> 2do y 5to día respectivamente; la monodigestión de RE fue superior a la codigestión de RE:TR - 3:1, RE:TR - 2:2 y RE:TR - 1:3, en un 10.72%, 6.98% y 10.34% respectivamente. </w:t>
      </w:r>
      <w:r w:rsidRPr="00686018">
        <w:rPr>
          <w:rFonts w:ascii="Times New Roman" w:hAnsi="Times New Roman" w:cs="Times New Roman"/>
          <w:sz w:val="24"/>
          <w:lang w:eastAsia="es-EC"/>
        </w:rPr>
        <w:t xml:space="preserve">El valor más bajo de generación de biogás fue obtenido por la codigestión de RE </w:t>
      </w:r>
      <w:r w:rsidR="00C44C20">
        <w:rPr>
          <w:rFonts w:ascii="Times New Roman" w:hAnsi="Times New Roman" w:cs="Times New Roman"/>
          <w:sz w:val="24"/>
          <w:lang w:eastAsia="es-EC"/>
        </w:rPr>
        <w:t>y TR a una razón de 2:2 (44.887</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 xml:space="preserve">/g-SV) al 2do día de digestión. </w:t>
      </w:r>
      <w:r w:rsidR="00A56FF3" w:rsidRPr="00686018">
        <w:rPr>
          <w:rFonts w:ascii="Times New Roman" w:hAnsi="Times New Roman" w:cs="Times New Roman"/>
          <w:sz w:val="24"/>
          <w:lang w:eastAsia="es-EC"/>
        </w:rPr>
        <w:t xml:space="preserve">La gran diferencia de tiempo de generación es atribuida a la mayor carga microbiana que acompaña a RE en comparación a TR. </w:t>
      </w:r>
      <w:r w:rsidRPr="00686018">
        <w:rPr>
          <w:rFonts w:ascii="Times New Roman" w:hAnsi="Times New Roman" w:cs="Times New Roman"/>
          <w:sz w:val="24"/>
          <w:lang w:eastAsia="es-EC"/>
        </w:rPr>
        <w:t>Aunque al cargar el digestor con un 50% de RE y 50% TR se reduce el tiempo de generación, la razón de generación es inferior comparado a la monodigestión.</w:t>
      </w:r>
    </w:p>
    <w:p w:rsidR="004C6FCD" w:rsidRPr="00686018" w:rsidRDefault="00252395"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Al reducir el volumen de inóculo a 50% </w:t>
      </w:r>
      <w:r w:rsidR="006E31EF">
        <w:rPr>
          <w:rFonts w:ascii="Times New Roman" w:hAnsi="Times New Roman" w:cs="Times New Roman"/>
          <w:b/>
          <w:sz w:val="24"/>
          <w:lang w:eastAsia="es-EC"/>
        </w:rPr>
        <w:t>(figura 18</w:t>
      </w:r>
      <w:r w:rsidRPr="00686018">
        <w:rPr>
          <w:rFonts w:ascii="Times New Roman" w:hAnsi="Times New Roman" w:cs="Times New Roman"/>
          <w:b/>
          <w:sz w:val="24"/>
          <w:lang w:eastAsia="es-EC"/>
        </w:rPr>
        <w:t>B)</w:t>
      </w:r>
      <w:r w:rsidRPr="00686018">
        <w:rPr>
          <w:rFonts w:ascii="Times New Roman" w:hAnsi="Times New Roman" w:cs="Times New Roman"/>
          <w:sz w:val="24"/>
          <w:lang w:eastAsia="es-EC"/>
        </w:rPr>
        <w:t xml:space="preserve"> se redujo el valor de la generación de biogás. El pico </w:t>
      </w:r>
      <w:r w:rsidR="00C91303">
        <w:rPr>
          <w:rFonts w:ascii="Times New Roman" w:hAnsi="Times New Roman" w:cs="Times New Roman"/>
          <w:sz w:val="24"/>
          <w:lang w:eastAsia="es-EC"/>
        </w:rPr>
        <w:t xml:space="preserve">del grafico </w:t>
      </w:r>
      <w:r w:rsidRPr="00686018">
        <w:rPr>
          <w:rFonts w:ascii="Times New Roman" w:hAnsi="Times New Roman" w:cs="Times New Roman"/>
          <w:sz w:val="24"/>
          <w:lang w:eastAsia="es-EC"/>
        </w:rPr>
        <w:t xml:space="preserve">más alto se obtuvo en la codigestión de RE </w:t>
      </w:r>
      <w:r w:rsidR="00C44C20">
        <w:rPr>
          <w:rFonts w:ascii="Times New Roman" w:hAnsi="Times New Roman" w:cs="Times New Roman"/>
          <w:sz w:val="24"/>
          <w:lang w:eastAsia="es-EC"/>
        </w:rPr>
        <w:t>y TR a una razón de 1:3 (43.805</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/g-SV) al 4to día. Ocurrió algo opuesto con la codigestión de RE y TR a una razón de 2:2, donde el tiempo de generación se prolongó a 6 días, tuvo además una razón de generación más baja</w:t>
      </w:r>
      <w:r w:rsidR="00C91303">
        <w:rPr>
          <w:rFonts w:ascii="Times New Roman" w:hAnsi="Times New Roman" w:cs="Times New Roman"/>
          <w:sz w:val="24"/>
          <w:lang w:eastAsia="es-EC"/>
        </w:rPr>
        <w:t xml:space="preserve"> de </w:t>
      </w:r>
      <w:r w:rsidR="00C44C20">
        <w:rPr>
          <w:rFonts w:ascii="Times New Roman" w:hAnsi="Times New Roman" w:cs="Times New Roman"/>
          <w:sz w:val="24"/>
          <w:lang w:eastAsia="es-EC"/>
        </w:rPr>
        <w:t xml:space="preserve">biogás </w:t>
      </w:r>
      <w:r w:rsidR="00C44C20" w:rsidRPr="00686018">
        <w:rPr>
          <w:rFonts w:ascii="Times New Roman" w:hAnsi="Times New Roman" w:cs="Times New Roman"/>
          <w:sz w:val="24"/>
          <w:lang w:eastAsia="es-EC"/>
        </w:rPr>
        <w:t>(</w:t>
      </w:r>
      <w:r w:rsidR="00C44C20">
        <w:rPr>
          <w:rFonts w:ascii="Times New Roman" w:hAnsi="Times New Roman" w:cs="Times New Roman"/>
          <w:sz w:val="24"/>
          <w:lang w:eastAsia="es-EC"/>
        </w:rPr>
        <w:t>26.525</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/g-SV).</w:t>
      </w:r>
    </w:p>
    <w:p w:rsidR="004C6FCD" w:rsidRPr="00686018" w:rsidRDefault="00253485"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Se acortó aún más el tiempo de generación de biogás cuando la cantidad de inóculo se redujo a 33.33% </w:t>
      </w:r>
      <w:r w:rsidR="006E31EF">
        <w:rPr>
          <w:rFonts w:ascii="Times New Roman" w:hAnsi="Times New Roman" w:cs="Times New Roman"/>
          <w:b/>
          <w:sz w:val="24"/>
          <w:lang w:eastAsia="es-EC"/>
        </w:rPr>
        <w:t>(figura 18</w:t>
      </w:r>
      <w:r w:rsidRPr="00686018">
        <w:rPr>
          <w:rFonts w:ascii="Times New Roman" w:hAnsi="Times New Roman" w:cs="Times New Roman"/>
          <w:b/>
          <w:sz w:val="24"/>
          <w:lang w:eastAsia="es-EC"/>
        </w:rPr>
        <w:t>C)</w:t>
      </w:r>
      <w:r w:rsidRPr="00686018">
        <w:rPr>
          <w:rFonts w:ascii="Times New Roman" w:hAnsi="Times New Roman" w:cs="Times New Roman"/>
          <w:sz w:val="24"/>
          <w:lang w:eastAsia="es-EC"/>
        </w:rPr>
        <w:t xml:space="preserve">. El pico más alto fue identificado a una razón de 2:2 </w:t>
      </w:r>
      <w:r w:rsidR="00C44C20">
        <w:rPr>
          <w:rFonts w:ascii="Times New Roman" w:hAnsi="Times New Roman" w:cs="Times New Roman"/>
          <w:sz w:val="24"/>
          <w:lang w:eastAsia="es-EC"/>
        </w:rPr>
        <w:t>(37.319</w:t>
      </w:r>
      <w:r w:rsidR="00DD14D0">
        <w:rPr>
          <w:rFonts w:ascii="Times New Roman" w:hAnsi="Times New Roman" w:cs="Times New Roman"/>
          <w:sz w:val="24"/>
          <w:lang w:eastAsia="es-EC"/>
        </w:rPr>
        <w:t>mL</w:t>
      </w:r>
      <w:r w:rsidR="00BF1105" w:rsidRPr="00686018">
        <w:rPr>
          <w:rFonts w:ascii="Times New Roman" w:hAnsi="Times New Roman" w:cs="Times New Roman"/>
          <w:sz w:val="24"/>
          <w:lang w:eastAsia="es-EC"/>
        </w:rPr>
        <w:t xml:space="preserve">/g-SV) </w:t>
      </w:r>
      <w:r w:rsidRPr="00686018">
        <w:rPr>
          <w:rFonts w:ascii="Times New Roman" w:hAnsi="Times New Roman" w:cs="Times New Roman"/>
          <w:sz w:val="24"/>
          <w:lang w:eastAsia="es-EC"/>
        </w:rPr>
        <w:t>de RE y TR al 2 día de digestión</w:t>
      </w:r>
      <w:r w:rsidR="009362BC" w:rsidRPr="00686018">
        <w:rPr>
          <w:rFonts w:ascii="Times New Roman" w:hAnsi="Times New Roman" w:cs="Times New Roman"/>
          <w:sz w:val="24"/>
          <w:lang w:eastAsia="es-EC"/>
        </w:rPr>
        <w:t>; éste obtuvo un incremento de 4.8% más que RE:TR-1:3 y 5.4% más que RE:TR-3:1</w:t>
      </w:r>
      <w:r w:rsidR="00BF1105" w:rsidRPr="00686018">
        <w:rPr>
          <w:rFonts w:ascii="Times New Roman" w:hAnsi="Times New Roman" w:cs="Times New Roman"/>
          <w:sz w:val="24"/>
          <w:lang w:eastAsia="es-EC"/>
        </w:rPr>
        <w:t xml:space="preserve">. </w:t>
      </w:r>
      <w:r w:rsidR="009362BC" w:rsidRPr="00686018">
        <w:rPr>
          <w:rFonts w:ascii="Times New Roman" w:hAnsi="Times New Roman" w:cs="Times New Roman"/>
          <w:sz w:val="24"/>
          <w:lang w:eastAsia="es-EC"/>
        </w:rPr>
        <w:t>Con respecto a la monodigestión</w:t>
      </w:r>
      <w:r w:rsidR="00C44C20">
        <w:rPr>
          <w:rFonts w:ascii="Times New Roman" w:hAnsi="Times New Roman" w:cs="Times New Roman"/>
          <w:sz w:val="24"/>
          <w:lang w:eastAsia="es-EC"/>
        </w:rPr>
        <w:t>, RE (26.260</w:t>
      </w:r>
      <w:r w:rsidR="00DD14D0">
        <w:rPr>
          <w:rFonts w:ascii="Times New Roman" w:hAnsi="Times New Roman" w:cs="Times New Roman"/>
          <w:sz w:val="24"/>
          <w:lang w:eastAsia="es-EC"/>
        </w:rPr>
        <w:t>mL</w:t>
      </w:r>
      <w:r w:rsidR="00BF1105" w:rsidRPr="00686018">
        <w:rPr>
          <w:rFonts w:ascii="Times New Roman" w:hAnsi="Times New Roman" w:cs="Times New Roman"/>
          <w:sz w:val="24"/>
          <w:lang w:eastAsia="es-EC"/>
        </w:rPr>
        <w:t xml:space="preserve">/g-SV) </w:t>
      </w:r>
      <w:r w:rsidR="009362BC" w:rsidRPr="00686018">
        <w:rPr>
          <w:rFonts w:ascii="Times New Roman" w:hAnsi="Times New Roman" w:cs="Times New Roman"/>
          <w:sz w:val="24"/>
          <w:lang w:eastAsia="es-EC"/>
        </w:rPr>
        <w:t>tuvo un incremento del</w:t>
      </w:r>
      <w:r w:rsidR="00BF1105" w:rsidRPr="00686018">
        <w:rPr>
          <w:rFonts w:ascii="Times New Roman" w:hAnsi="Times New Roman" w:cs="Times New Roman"/>
          <w:sz w:val="24"/>
          <w:lang w:eastAsia="es-EC"/>
        </w:rPr>
        <w:t xml:space="preserve"> 3% </w:t>
      </w:r>
      <w:r w:rsidR="009362BC" w:rsidRPr="00686018">
        <w:rPr>
          <w:rFonts w:ascii="Times New Roman" w:hAnsi="Times New Roman" w:cs="Times New Roman"/>
          <w:sz w:val="24"/>
          <w:lang w:eastAsia="es-EC"/>
        </w:rPr>
        <w:t xml:space="preserve">de formación de </w:t>
      </w:r>
      <w:r w:rsidR="009362BC" w:rsidRPr="00686018">
        <w:rPr>
          <w:rFonts w:ascii="Times New Roman" w:hAnsi="Times New Roman" w:cs="Times New Roman"/>
          <w:sz w:val="24"/>
          <w:lang w:eastAsia="es-EC"/>
        </w:rPr>
        <w:lastRenderedPageBreak/>
        <w:t>biogás en comparación a</w:t>
      </w:r>
      <w:r w:rsidR="00C44C20">
        <w:rPr>
          <w:rFonts w:ascii="Times New Roman" w:hAnsi="Times New Roman" w:cs="Times New Roman"/>
          <w:sz w:val="24"/>
          <w:lang w:eastAsia="es-EC"/>
        </w:rPr>
        <w:t xml:space="preserve"> la monodigestión de TR (25.432</w:t>
      </w:r>
      <w:r w:rsidR="00DD14D0">
        <w:rPr>
          <w:rFonts w:ascii="Times New Roman" w:hAnsi="Times New Roman" w:cs="Times New Roman"/>
          <w:sz w:val="24"/>
          <w:lang w:eastAsia="es-EC"/>
        </w:rPr>
        <w:t>mL</w:t>
      </w:r>
      <w:r w:rsidR="009362BC" w:rsidRPr="00686018">
        <w:rPr>
          <w:rFonts w:ascii="Times New Roman" w:hAnsi="Times New Roman" w:cs="Times New Roman"/>
          <w:sz w:val="24"/>
          <w:lang w:eastAsia="es-EC"/>
        </w:rPr>
        <w:t>/g-S)</w:t>
      </w:r>
      <w:r w:rsidRPr="00686018">
        <w:rPr>
          <w:rFonts w:ascii="Times New Roman" w:hAnsi="Times New Roman" w:cs="Times New Roman"/>
          <w:sz w:val="24"/>
          <w:lang w:eastAsia="es-EC"/>
        </w:rPr>
        <w:t xml:space="preserve">; se puede notar que una cantidad mayor de sustrato incrementa la razón de generación de biogás, la carga microbiana adicional que acompaña a RE podría ser responsable de tal ascenso. </w:t>
      </w:r>
      <w:r w:rsidR="00C35235" w:rsidRPr="00686018">
        <w:rPr>
          <w:rFonts w:ascii="Times New Roman" w:hAnsi="Times New Roman" w:cs="Times New Roman"/>
          <w:sz w:val="24"/>
          <w:lang w:eastAsia="es-EC"/>
        </w:rPr>
        <w:t xml:space="preserve">El rendimiento diario de biogás para los 40 días de digestión se detalla en el </w:t>
      </w:r>
      <w:r w:rsidR="00C35235" w:rsidRPr="00686018">
        <w:rPr>
          <w:rFonts w:ascii="Times New Roman" w:hAnsi="Times New Roman" w:cs="Times New Roman"/>
          <w:b/>
          <w:sz w:val="24"/>
          <w:lang w:eastAsia="es-EC"/>
        </w:rPr>
        <w:t>ANEXO 5</w:t>
      </w:r>
    </w:p>
    <w:p w:rsidR="00032A12" w:rsidRPr="00686018" w:rsidRDefault="00032A12" w:rsidP="00A31608">
      <w:pPr>
        <w:jc w:val="both"/>
        <w:rPr>
          <w:rFonts w:ascii="Times New Roman" w:hAnsi="Times New Roman" w:cs="Times New Roman"/>
          <w:lang w:eastAsia="es-EC"/>
        </w:rPr>
      </w:pPr>
    </w:p>
    <w:p w:rsidR="00032A12" w:rsidRPr="00686018" w:rsidRDefault="00032A12" w:rsidP="00B46DDC">
      <w:pPr>
        <w:jc w:val="center"/>
        <w:rPr>
          <w:rFonts w:ascii="Times New Roman" w:hAnsi="Times New Roman" w:cs="Times New Roman"/>
          <w:lang w:eastAsia="es-EC"/>
        </w:rPr>
      </w:pPr>
      <w:r w:rsidRPr="00686018">
        <w:rPr>
          <w:rFonts w:ascii="Times New Roman" w:hAnsi="Times New Roman" w:cs="Times New Roman"/>
          <w:noProof/>
          <w:lang w:eastAsia="es-EC"/>
        </w:rPr>
        <w:drawing>
          <wp:inline distT="0" distB="0" distL="0" distR="0" wp14:anchorId="7660DB2B" wp14:editId="7CC4F3B5">
            <wp:extent cx="4869711" cy="3592195"/>
            <wp:effectExtent l="0" t="0" r="762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77431" cy="3597890"/>
                    </a:xfrm>
                    <a:prstGeom prst="rect">
                      <a:avLst/>
                    </a:prstGeom>
                  </pic:spPr>
                </pic:pic>
              </a:graphicData>
            </a:graphic>
          </wp:inline>
        </w:drawing>
      </w:r>
    </w:p>
    <w:p w:rsidR="00032A12" w:rsidRPr="00686018" w:rsidRDefault="00B639AA" w:rsidP="00B46DDC">
      <w:pPr>
        <w:pStyle w:val="Descripcin"/>
        <w:jc w:val="center"/>
        <w:rPr>
          <w:rFonts w:ascii="Times New Roman" w:hAnsi="Times New Roman" w:cs="Times New Roman"/>
          <w:b/>
          <w:i w:val="0"/>
          <w:color w:val="auto"/>
        </w:rPr>
      </w:pPr>
      <w:bookmarkStart w:id="229" w:name="_Toc9537886"/>
      <w:r>
        <w:rPr>
          <w:rFonts w:ascii="Times New Roman" w:hAnsi="Times New Roman" w:cs="Times New Roman"/>
          <w:b/>
          <w:i w:val="0"/>
          <w:color w:val="auto"/>
        </w:rPr>
        <w:t>Figura</w:t>
      </w:r>
      <w:r w:rsidR="00032A12" w:rsidRPr="00686018">
        <w:rPr>
          <w:rFonts w:ascii="Times New Roman" w:hAnsi="Times New Roman" w:cs="Times New Roman"/>
          <w:b/>
          <w:i w:val="0"/>
          <w:color w:val="auto"/>
        </w:rPr>
        <w:t xml:space="preserve"> </w:t>
      </w:r>
      <w:r w:rsidR="00032A12" w:rsidRPr="00686018">
        <w:rPr>
          <w:rFonts w:ascii="Times New Roman" w:hAnsi="Times New Roman" w:cs="Times New Roman"/>
          <w:b/>
          <w:i w:val="0"/>
          <w:color w:val="auto"/>
        </w:rPr>
        <w:fldChar w:fldCharType="begin"/>
      </w:r>
      <w:r w:rsidR="00032A12" w:rsidRPr="00686018">
        <w:rPr>
          <w:rFonts w:ascii="Times New Roman" w:hAnsi="Times New Roman" w:cs="Times New Roman"/>
          <w:b/>
          <w:i w:val="0"/>
          <w:color w:val="auto"/>
        </w:rPr>
        <w:instrText xml:space="preserve"> SEQ Figure \* ARABIC </w:instrText>
      </w:r>
      <w:r w:rsidR="00032A12"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18</w:t>
      </w:r>
      <w:r w:rsidR="00032A12" w:rsidRPr="00686018">
        <w:rPr>
          <w:rFonts w:ascii="Times New Roman" w:hAnsi="Times New Roman" w:cs="Times New Roman"/>
          <w:b/>
          <w:i w:val="0"/>
          <w:color w:val="auto"/>
        </w:rPr>
        <w:fldChar w:fldCharType="end"/>
      </w:r>
      <w:r w:rsidR="00032A12" w:rsidRPr="00686018">
        <w:rPr>
          <w:rFonts w:ascii="Times New Roman" w:hAnsi="Times New Roman" w:cs="Times New Roman"/>
          <w:i w:val="0"/>
          <w:color w:val="auto"/>
        </w:rPr>
        <w:t>. Producción diaria de biogás a razones diferentes de I:S y RE:TR.</w:t>
      </w:r>
      <w:bookmarkEnd w:id="229"/>
    </w:p>
    <w:p w:rsidR="00032A12" w:rsidRPr="00686018" w:rsidRDefault="00032A12" w:rsidP="00B46DDC">
      <w:pPr>
        <w:jc w:val="center"/>
        <w:rPr>
          <w:rFonts w:ascii="Times New Roman" w:hAnsi="Times New Roman" w:cs="Times New Roman"/>
          <w:lang w:eastAsia="es-EC"/>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AB5EA9" w:rsidRPr="00686018" w:rsidRDefault="00AB5EA9" w:rsidP="00A31608">
      <w:pPr>
        <w:pStyle w:val="Ttulo4"/>
        <w:numPr>
          <w:ilvl w:val="2"/>
          <w:numId w:val="4"/>
        </w:numPr>
        <w:ind w:left="505" w:hanging="505"/>
        <w:jc w:val="both"/>
        <w:rPr>
          <w:rFonts w:ascii="Times New Roman" w:hAnsi="Times New Roman" w:cs="Times New Roman"/>
          <w:i w:val="0"/>
          <w:u w:val="none"/>
          <w:lang w:eastAsia="es-EC"/>
        </w:rPr>
      </w:pPr>
      <w:bookmarkStart w:id="230" w:name="_Toc9537846"/>
      <w:r w:rsidRPr="00686018">
        <w:rPr>
          <w:rFonts w:ascii="Times New Roman" w:hAnsi="Times New Roman" w:cs="Times New Roman"/>
          <w:i w:val="0"/>
          <w:u w:val="none"/>
          <w:lang w:eastAsia="es-EC"/>
        </w:rPr>
        <w:t xml:space="preserve">Rendimiento de biogás </w:t>
      </w:r>
      <w:r w:rsidR="00DF230B" w:rsidRPr="00686018">
        <w:rPr>
          <w:rFonts w:ascii="Times New Roman" w:hAnsi="Times New Roman" w:cs="Times New Roman"/>
          <w:i w:val="0"/>
          <w:u w:val="none"/>
          <w:lang w:eastAsia="es-EC"/>
        </w:rPr>
        <w:t>acumulado</w:t>
      </w:r>
      <w:r w:rsidR="007A0FA9" w:rsidRPr="00686018">
        <w:rPr>
          <w:rFonts w:ascii="Times New Roman" w:hAnsi="Times New Roman" w:cs="Times New Roman"/>
          <w:i w:val="0"/>
          <w:u w:val="none"/>
          <w:lang w:eastAsia="es-EC"/>
        </w:rPr>
        <w:t xml:space="preserve"> para razones diferentes de I:S y RE:TR</w:t>
      </w:r>
      <w:bookmarkEnd w:id="230"/>
    </w:p>
    <w:p w:rsidR="00AB5EA9" w:rsidRPr="00686018" w:rsidRDefault="008A7B5E" w:rsidP="00A31608">
      <w:pPr>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La producción de biogás durante el proceso de digestión a diferentes razones de </w:t>
      </w:r>
      <w:r w:rsidR="00A21A81" w:rsidRPr="00686018">
        <w:rPr>
          <w:rFonts w:ascii="Times New Roman" w:hAnsi="Times New Roman" w:cs="Times New Roman"/>
          <w:sz w:val="24"/>
          <w:lang w:eastAsia="es-EC"/>
        </w:rPr>
        <w:t>I:</w:t>
      </w:r>
      <w:r w:rsidR="004A3A7D" w:rsidRPr="00686018">
        <w:rPr>
          <w:rFonts w:ascii="Times New Roman" w:hAnsi="Times New Roman" w:cs="Times New Roman"/>
          <w:sz w:val="24"/>
          <w:lang w:eastAsia="es-EC"/>
        </w:rPr>
        <w:t>S</w:t>
      </w:r>
      <w:r w:rsidRPr="00686018">
        <w:rPr>
          <w:rFonts w:ascii="Times New Roman" w:hAnsi="Times New Roman" w:cs="Times New Roman"/>
          <w:sz w:val="24"/>
          <w:lang w:eastAsia="es-EC"/>
        </w:rPr>
        <w:t xml:space="preserve"> </w:t>
      </w:r>
      <w:r w:rsidR="005556DA" w:rsidRPr="00686018">
        <w:rPr>
          <w:rFonts w:ascii="Times New Roman" w:hAnsi="Times New Roman" w:cs="Times New Roman"/>
          <w:sz w:val="24"/>
          <w:lang w:eastAsia="es-EC"/>
        </w:rPr>
        <w:t xml:space="preserve">y razones diferentes de </w:t>
      </w:r>
      <w:r w:rsidR="00A21A81" w:rsidRPr="00686018">
        <w:rPr>
          <w:rFonts w:ascii="Times New Roman" w:hAnsi="Times New Roman" w:cs="Times New Roman"/>
          <w:sz w:val="24"/>
          <w:lang w:eastAsia="es-EC"/>
        </w:rPr>
        <w:t>RE:</w:t>
      </w:r>
      <w:r w:rsidR="004A3A7D" w:rsidRPr="00686018">
        <w:rPr>
          <w:rFonts w:ascii="Times New Roman" w:hAnsi="Times New Roman" w:cs="Times New Roman"/>
          <w:sz w:val="24"/>
          <w:lang w:eastAsia="es-EC"/>
        </w:rPr>
        <w:t>TR</w:t>
      </w:r>
      <w:r w:rsidR="005556DA" w:rsidRPr="00686018">
        <w:rPr>
          <w:rFonts w:ascii="Times New Roman" w:hAnsi="Times New Roman" w:cs="Times New Roman"/>
          <w:sz w:val="24"/>
          <w:lang w:eastAsia="es-EC"/>
        </w:rPr>
        <w:t xml:space="preserve"> </w:t>
      </w:r>
      <w:r w:rsidR="005E53C5" w:rsidRPr="00686018">
        <w:rPr>
          <w:rFonts w:ascii="Times New Roman" w:hAnsi="Times New Roman" w:cs="Times New Roman"/>
          <w:sz w:val="24"/>
          <w:lang w:eastAsia="es-EC"/>
        </w:rPr>
        <w:t xml:space="preserve">se muestra en la </w:t>
      </w:r>
      <w:r w:rsidR="005E53C5" w:rsidRPr="00686018">
        <w:rPr>
          <w:rFonts w:ascii="Times New Roman" w:hAnsi="Times New Roman" w:cs="Times New Roman"/>
          <w:b/>
          <w:sz w:val="24"/>
          <w:lang w:eastAsia="es-EC"/>
        </w:rPr>
        <w:t>figura 1</w:t>
      </w:r>
      <w:r w:rsidR="006E31EF">
        <w:rPr>
          <w:rFonts w:ascii="Times New Roman" w:hAnsi="Times New Roman" w:cs="Times New Roman"/>
          <w:b/>
          <w:sz w:val="24"/>
          <w:lang w:eastAsia="es-EC"/>
        </w:rPr>
        <w:t>9</w:t>
      </w:r>
      <w:r w:rsidRPr="00686018">
        <w:rPr>
          <w:rFonts w:ascii="Times New Roman" w:hAnsi="Times New Roman" w:cs="Times New Roman"/>
          <w:sz w:val="24"/>
          <w:lang w:eastAsia="es-EC"/>
        </w:rPr>
        <w:t xml:space="preserve">. </w:t>
      </w:r>
      <w:r w:rsidR="001B7AC1" w:rsidRPr="00686018">
        <w:rPr>
          <w:rFonts w:ascii="Times New Roman" w:hAnsi="Times New Roman" w:cs="Times New Roman"/>
          <w:sz w:val="24"/>
          <w:lang w:eastAsia="es-EC"/>
        </w:rPr>
        <w:t>Como</w:t>
      </w:r>
      <w:r w:rsidR="006B073A" w:rsidRPr="00686018">
        <w:rPr>
          <w:rFonts w:ascii="Times New Roman" w:hAnsi="Times New Roman" w:cs="Times New Roman"/>
          <w:sz w:val="24"/>
          <w:lang w:eastAsia="es-EC"/>
        </w:rPr>
        <w:t xml:space="preserve"> </w:t>
      </w:r>
      <w:r w:rsidR="001B7AC1" w:rsidRPr="00686018">
        <w:rPr>
          <w:rFonts w:ascii="Times New Roman" w:hAnsi="Times New Roman" w:cs="Times New Roman"/>
          <w:sz w:val="24"/>
          <w:lang w:eastAsia="es-EC"/>
        </w:rPr>
        <w:t xml:space="preserve">se observa en la figura, </w:t>
      </w:r>
      <w:r w:rsidR="006B073A" w:rsidRPr="00686018">
        <w:rPr>
          <w:rFonts w:ascii="Times New Roman" w:hAnsi="Times New Roman" w:cs="Times New Roman"/>
          <w:sz w:val="24"/>
          <w:lang w:eastAsia="es-EC"/>
        </w:rPr>
        <w:t>l</w:t>
      </w:r>
      <w:r w:rsidRPr="00686018">
        <w:rPr>
          <w:rFonts w:ascii="Times New Roman" w:hAnsi="Times New Roman" w:cs="Times New Roman"/>
          <w:sz w:val="24"/>
          <w:lang w:eastAsia="es-EC"/>
        </w:rPr>
        <w:t xml:space="preserve">a producción de biogás </w:t>
      </w:r>
      <w:r w:rsidR="006B073A" w:rsidRPr="00686018">
        <w:rPr>
          <w:rFonts w:ascii="Times New Roman" w:hAnsi="Times New Roman" w:cs="Times New Roman"/>
          <w:sz w:val="24"/>
          <w:lang w:eastAsia="es-EC"/>
        </w:rPr>
        <w:t>se increme</w:t>
      </w:r>
      <w:r w:rsidR="001B7AC1" w:rsidRPr="00686018">
        <w:rPr>
          <w:rFonts w:ascii="Times New Roman" w:hAnsi="Times New Roman" w:cs="Times New Roman"/>
          <w:sz w:val="24"/>
          <w:lang w:eastAsia="es-EC"/>
        </w:rPr>
        <w:t xml:space="preserve">nta al reducir el volumen de inóculo; así mismo, el biogás generado aumenta al incrementar la fracción de residuo ruminal como sustrato principal. </w:t>
      </w:r>
    </w:p>
    <w:p w:rsidR="00C36C19" w:rsidRPr="00686018" w:rsidRDefault="00DD6393" w:rsidP="00B46DDC">
      <w:pPr>
        <w:jc w:val="center"/>
        <w:rPr>
          <w:rFonts w:ascii="Times New Roman" w:hAnsi="Times New Roman" w:cs="Times New Roman"/>
        </w:rPr>
      </w:pPr>
      <w:r w:rsidRPr="00686018">
        <w:rPr>
          <w:rFonts w:ascii="Times New Roman" w:hAnsi="Times New Roman" w:cs="Times New Roman"/>
          <w:noProof/>
          <w:lang w:eastAsia="es-EC"/>
        </w:rPr>
        <w:lastRenderedPageBreak/>
        <w:drawing>
          <wp:inline distT="0" distB="0" distL="0" distR="0" wp14:anchorId="2AC666F5" wp14:editId="186896C1">
            <wp:extent cx="4125432" cy="2866554"/>
            <wp:effectExtent l="0" t="0" r="889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51698" cy="2884805"/>
                    </a:xfrm>
                    <a:prstGeom prst="rect">
                      <a:avLst/>
                    </a:prstGeom>
                  </pic:spPr>
                </pic:pic>
              </a:graphicData>
            </a:graphic>
          </wp:inline>
        </w:drawing>
      </w:r>
    </w:p>
    <w:p w:rsidR="005320BB" w:rsidRPr="00686018" w:rsidRDefault="00B639AA" w:rsidP="00B46DDC">
      <w:pPr>
        <w:pStyle w:val="Descripcin"/>
        <w:jc w:val="center"/>
        <w:rPr>
          <w:rFonts w:ascii="Times New Roman" w:hAnsi="Times New Roman" w:cs="Times New Roman"/>
          <w:i w:val="0"/>
          <w:color w:val="auto"/>
        </w:rPr>
      </w:pPr>
      <w:bookmarkStart w:id="231" w:name="_Toc9537887"/>
      <w:r>
        <w:rPr>
          <w:rFonts w:ascii="Times New Roman" w:hAnsi="Times New Roman" w:cs="Times New Roman"/>
          <w:b/>
          <w:i w:val="0"/>
          <w:color w:val="auto"/>
        </w:rPr>
        <w:t>Figura</w:t>
      </w:r>
      <w:r w:rsidR="005320BB" w:rsidRPr="00686018">
        <w:rPr>
          <w:rFonts w:ascii="Times New Roman" w:hAnsi="Times New Roman" w:cs="Times New Roman"/>
          <w:b/>
          <w:i w:val="0"/>
          <w:color w:val="auto"/>
        </w:rPr>
        <w:t xml:space="preserve"> </w:t>
      </w:r>
      <w:r w:rsidR="005320BB" w:rsidRPr="00686018">
        <w:rPr>
          <w:rFonts w:ascii="Times New Roman" w:hAnsi="Times New Roman" w:cs="Times New Roman"/>
          <w:b/>
          <w:i w:val="0"/>
          <w:color w:val="auto"/>
        </w:rPr>
        <w:fldChar w:fldCharType="begin"/>
      </w:r>
      <w:r w:rsidR="005320BB" w:rsidRPr="00686018">
        <w:rPr>
          <w:rFonts w:ascii="Times New Roman" w:hAnsi="Times New Roman" w:cs="Times New Roman"/>
          <w:b/>
          <w:i w:val="0"/>
          <w:color w:val="auto"/>
        </w:rPr>
        <w:instrText xml:space="preserve"> SEQ Figure \* ARABIC </w:instrText>
      </w:r>
      <w:r w:rsidR="005320BB"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19</w:t>
      </w:r>
      <w:r w:rsidR="005320BB" w:rsidRPr="00686018">
        <w:rPr>
          <w:rFonts w:ascii="Times New Roman" w:hAnsi="Times New Roman" w:cs="Times New Roman"/>
          <w:b/>
          <w:i w:val="0"/>
          <w:color w:val="auto"/>
        </w:rPr>
        <w:fldChar w:fldCharType="end"/>
      </w:r>
      <w:r w:rsidR="005320BB" w:rsidRPr="00686018">
        <w:rPr>
          <w:rFonts w:ascii="Times New Roman" w:hAnsi="Times New Roman" w:cs="Times New Roman"/>
          <w:b/>
          <w:i w:val="0"/>
          <w:color w:val="auto"/>
        </w:rPr>
        <w:t>.</w:t>
      </w:r>
      <w:r w:rsidR="005320BB" w:rsidRPr="00686018">
        <w:rPr>
          <w:rFonts w:ascii="Times New Roman" w:hAnsi="Times New Roman" w:cs="Times New Roman"/>
          <w:i w:val="0"/>
          <w:color w:val="auto"/>
        </w:rPr>
        <w:t xml:space="preserve"> Producción de biogás para varias razones de I:S y RE:TR.</w:t>
      </w:r>
      <w:bookmarkEnd w:id="231"/>
    </w:p>
    <w:p w:rsidR="00A21A81" w:rsidRPr="00686018" w:rsidRDefault="00C36C19"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962CB2" w:rsidRPr="00686018" w:rsidRDefault="007679AA" w:rsidP="00A31608">
      <w:pPr>
        <w:spacing w:before="360" w:after="360"/>
        <w:jc w:val="both"/>
        <w:rPr>
          <w:rFonts w:ascii="Times New Roman" w:hAnsi="Times New Roman" w:cs="Times New Roman"/>
          <w:sz w:val="24"/>
        </w:rPr>
      </w:pPr>
      <w:r w:rsidRPr="00686018">
        <w:rPr>
          <w:rFonts w:ascii="Times New Roman" w:hAnsi="Times New Roman" w:cs="Times New Roman"/>
          <w:sz w:val="24"/>
        </w:rPr>
        <w:t>El rendimiento de biogás acumulado</w:t>
      </w:r>
      <w:r w:rsidR="00080672" w:rsidRPr="00686018">
        <w:rPr>
          <w:rFonts w:ascii="Times New Roman" w:hAnsi="Times New Roman" w:cs="Times New Roman"/>
          <w:sz w:val="24"/>
        </w:rPr>
        <w:t xml:space="preserve"> promedio</w:t>
      </w:r>
      <w:r w:rsidRPr="00686018">
        <w:rPr>
          <w:rFonts w:ascii="Times New Roman" w:hAnsi="Times New Roman" w:cs="Times New Roman"/>
          <w:sz w:val="24"/>
        </w:rPr>
        <w:t>, evaluado a los 40 días de digestión se muestra en l</w:t>
      </w:r>
      <w:r w:rsidR="0081500F" w:rsidRPr="00686018">
        <w:rPr>
          <w:rFonts w:ascii="Times New Roman" w:hAnsi="Times New Roman" w:cs="Times New Roman"/>
          <w:sz w:val="24"/>
        </w:rPr>
        <w:t>a</w:t>
      </w:r>
      <w:r w:rsidR="00981DFA" w:rsidRPr="00686018">
        <w:rPr>
          <w:rFonts w:ascii="Times New Roman" w:hAnsi="Times New Roman" w:cs="Times New Roman"/>
          <w:sz w:val="24"/>
        </w:rPr>
        <w:t xml:space="preserve"> </w:t>
      </w:r>
      <w:r w:rsidR="00981DFA" w:rsidRPr="00686018">
        <w:rPr>
          <w:rFonts w:ascii="Times New Roman" w:hAnsi="Times New Roman" w:cs="Times New Roman"/>
          <w:b/>
          <w:sz w:val="24"/>
        </w:rPr>
        <w:t>tabla 10</w:t>
      </w:r>
      <w:r w:rsidR="00406098" w:rsidRPr="00686018">
        <w:rPr>
          <w:rFonts w:ascii="Times New Roman" w:hAnsi="Times New Roman" w:cs="Times New Roman"/>
          <w:sz w:val="24"/>
        </w:rPr>
        <w:t xml:space="preserve">. Cuando la cantidad de inóculo </w:t>
      </w:r>
      <w:r w:rsidR="005E53C5" w:rsidRPr="00686018">
        <w:rPr>
          <w:rFonts w:ascii="Times New Roman" w:hAnsi="Times New Roman" w:cs="Times New Roman"/>
          <w:sz w:val="24"/>
        </w:rPr>
        <w:t>usado</w:t>
      </w:r>
      <w:r w:rsidR="00406098" w:rsidRPr="00686018">
        <w:rPr>
          <w:rFonts w:ascii="Times New Roman" w:hAnsi="Times New Roman" w:cs="Times New Roman"/>
          <w:sz w:val="24"/>
        </w:rPr>
        <w:t xml:space="preserve"> es de 2 veces la cantidad de sustrato (I:S - 2:1) s</w:t>
      </w:r>
      <w:r w:rsidR="00BF66B6" w:rsidRPr="00686018">
        <w:rPr>
          <w:rFonts w:ascii="Times New Roman" w:hAnsi="Times New Roman" w:cs="Times New Roman"/>
          <w:sz w:val="24"/>
        </w:rPr>
        <w:t xml:space="preserve">e puede observar que </w:t>
      </w:r>
      <w:r w:rsidRPr="00686018">
        <w:rPr>
          <w:rFonts w:ascii="Times New Roman" w:hAnsi="Times New Roman" w:cs="Times New Roman"/>
          <w:sz w:val="24"/>
        </w:rPr>
        <w:t xml:space="preserve">durante la codigestión </w:t>
      </w:r>
      <w:r w:rsidR="00A726FF" w:rsidRPr="00686018">
        <w:rPr>
          <w:rFonts w:ascii="Times New Roman" w:hAnsi="Times New Roman" w:cs="Times New Roman"/>
          <w:sz w:val="24"/>
        </w:rPr>
        <w:t xml:space="preserve">de RE y TR, </w:t>
      </w:r>
      <w:r w:rsidR="00BF66B6" w:rsidRPr="00686018">
        <w:rPr>
          <w:rFonts w:ascii="Times New Roman" w:hAnsi="Times New Roman" w:cs="Times New Roman"/>
          <w:sz w:val="24"/>
        </w:rPr>
        <w:t xml:space="preserve">el biogás generado </w:t>
      </w:r>
      <w:r w:rsidR="00D95C1F" w:rsidRPr="00686018">
        <w:rPr>
          <w:rFonts w:ascii="Times New Roman" w:hAnsi="Times New Roman" w:cs="Times New Roman"/>
          <w:sz w:val="24"/>
        </w:rPr>
        <w:t>mejora</w:t>
      </w:r>
      <w:r w:rsidR="00BF66B6" w:rsidRPr="00686018">
        <w:rPr>
          <w:rFonts w:ascii="Times New Roman" w:hAnsi="Times New Roman" w:cs="Times New Roman"/>
          <w:sz w:val="24"/>
        </w:rPr>
        <w:t xml:space="preserve"> a medida que la fracción de RE añadido al digestor</w:t>
      </w:r>
      <w:r w:rsidR="00D95C1F" w:rsidRPr="00686018">
        <w:rPr>
          <w:rFonts w:ascii="Times New Roman" w:hAnsi="Times New Roman" w:cs="Times New Roman"/>
          <w:sz w:val="24"/>
        </w:rPr>
        <w:t xml:space="preserve"> se incrementa hasta un 50%</w:t>
      </w:r>
      <w:r w:rsidR="00A726FF" w:rsidRPr="00686018">
        <w:rPr>
          <w:rFonts w:ascii="Times New Roman" w:hAnsi="Times New Roman" w:cs="Times New Roman"/>
          <w:sz w:val="24"/>
        </w:rPr>
        <w:t xml:space="preserve"> con respecto a TR. A una razón 2:2 de RE a TR</w:t>
      </w:r>
      <w:r w:rsidR="00D95C1F" w:rsidRPr="00686018">
        <w:rPr>
          <w:rFonts w:ascii="Times New Roman" w:hAnsi="Times New Roman" w:cs="Times New Roman"/>
          <w:sz w:val="24"/>
        </w:rPr>
        <w:t>,</w:t>
      </w:r>
      <w:r w:rsidR="00A726FF" w:rsidRPr="00686018">
        <w:rPr>
          <w:rFonts w:ascii="Times New Roman" w:hAnsi="Times New Roman" w:cs="Times New Roman"/>
          <w:sz w:val="24"/>
        </w:rPr>
        <w:t xml:space="preserve"> el rendimiento de biogás </w:t>
      </w:r>
      <w:r w:rsidR="00E7100B" w:rsidRPr="00686018">
        <w:rPr>
          <w:rFonts w:ascii="Times New Roman" w:hAnsi="Times New Roman" w:cs="Times New Roman"/>
          <w:sz w:val="24"/>
        </w:rPr>
        <w:t xml:space="preserve">fue de </w:t>
      </w:r>
      <w:r w:rsidR="00F831FF" w:rsidRPr="00686018">
        <w:rPr>
          <w:rFonts w:ascii="Times New Roman" w:hAnsi="Times New Roman" w:cs="Times New Roman"/>
          <w:sz w:val="24"/>
        </w:rPr>
        <w:t>493.247</w:t>
      </w:r>
      <w:r w:rsidR="00DD14D0">
        <w:rPr>
          <w:rFonts w:ascii="Times New Roman" w:hAnsi="Times New Roman" w:cs="Times New Roman"/>
          <w:sz w:val="24"/>
        </w:rPr>
        <w:t>mL</w:t>
      </w:r>
      <w:r w:rsidR="00F831FF" w:rsidRPr="00686018">
        <w:rPr>
          <w:rFonts w:ascii="Times New Roman" w:hAnsi="Times New Roman" w:cs="Times New Roman"/>
          <w:sz w:val="24"/>
        </w:rPr>
        <w:t>/g-SV</w:t>
      </w:r>
      <w:r w:rsidR="00E7100B" w:rsidRPr="00686018">
        <w:rPr>
          <w:rFonts w:ascii="Times New Roman" w:hAnsi="Times New Roman" w:cs="Times New Roman"/>
          <w:sz w:val="24"/>
        </w:rPr>
        <w:t>, el cual fue más alto que RE (</w:t>
      </w:r>
      <w:r w:rsidR="00F831FF" w:rsidRPr="00686018">
        <w:rPr>
          <w:rFonts w:ascii="Times New Roman" w:hAnsi="Times New Roman" w:cs="Times New Roman"/>
          <w:sz w:val="24"/>
        </w:rPr>
        <w:t>421.726</w:t>
      </w:r>
      <w:r w:rsidR="00DD14D0">
        <w:rPr>
          <w:rFonts w:ascii="Times New Roman" w:hAnsi="Times New Roman" w:cs="Times New Roman"/>
          <w:sz w:val="24"/>
        </w:rPr>
        <w:t>mL</w:t>
      </w:r>
      <w:r w:rsidR="00F831FF" w:rsidRPr="00686018">
        <w:rPr>
          <w:rFonts w:ascii="Times New Roman" w:hAnsi="Times New Roman" w:cs="Times New Roman"/>
          <w:sz w:val="24"/>
        </w:rPr>
        <w:t>/g-SV</w:t>
      </w:r>
      <w:r w:rsidR="00E7100B" w:rsidRPr="00686018">
        <w:rPr>
          <w:rFonts w:ascii="Times New Roman" w:hAnsi="Times New Roman" w:cs="Times New Roman"/>
          <w:sz w:val="24"/>
        </w:rPr>
        <w:t>) y TR (</w:t>
      </w:r>
      <w:r w:rsidR="00C44C20">
        <w:rPr>
          <w:rFonts w:ascii="Times New Roman" w:hAnsi="Times New Roman" w:cs="Times New Roman"/>
          <w:sz w:val="24"/>
        </w:rPr>
        <w:t>477.754</w:t>
      </w:r>
      <w:r w:rsidR="00DD14D0">
        <w:rPr>
          <w:rFonts w:ascii="Times New Roman" w:hAnsi="Times New Roman" w:cs="Times New Roman"/>
          <w:sz w:val="24"/>
        </w:rPr>
        <w:t>mL</w:t>
      </w:r>
      <w:r w:rsidR="00F831FF" w:rsidRPr="00686018">
        <w:rPr>
          <w:rFonts w:ascii="Times New Roman" w:hAnsi="Times New Roman" w:cs="Times New Roman"/>
          <w:sz w:val="24"/>
        </w:rPr>
        <w:t>/g-SV</w:t>
      </w:r>
      <w:r w:rsidR="00E7100B" w:rsidRPr="00686018">
        <w:rPr>
          <w:rFonts w:ascii="Times New Roman" w:hAnsi="Times New Roman" w:cs="Times New Roman"/>
          <w:sz w:val="24"/>
        </w:rPr>
        <w:t xml:space="preserve">) </w:t>
      </w:r>
      <w:r w:rsidR="00E42D53" w:rsidRPr="00686018">
        <w:rPr>
          <w:rFonts w:ascii="Times New Roman" w:hAnsi="Times New Roman" w:cs="Times New Roman"/>
          <w:sz w:val="24"/>
        </w:rPr>
        <w:t>en mono</w:t>
      </w:r>
      <w:r w:rsidR="00962CB2" w:rsidRPr="00686018">
        <w:rPr>
          <w:rFonts w:ascii="Times New Roman" w:hAnsi="Times New Roman" w:cs="Times New Roman"/>
          <w:sz w:val="24"/>
        </w:rPr>
        <w:t xml:space="preserve">digestión. </w:t>
      </w:r>
      <w:r w:rsidR="00D95C1F" w:rsidRPr="00686018">
        <w:rPr>
          <w:rFonts w:ascii="Times New Roman" w:hAnsi="Times New Roman" w:cs="Times New Roman"/>
          <w:sz w:val="24"/>
        </w:rPr>
        <w:t>Algo similar ocurre con el experimento I:S – 1:1</w:t>
      </w:r>
      <w:r w:rsidR="00E7100B" w:rsidRPr="00686018">
        <w:rPr>
          <w:rFonts w:ascii="Times New Roman" w:hAnsi="Times New Roman" w:cs="Times New Roman"/>
          <w:sz w:val="24"/>
        </w:rPr>
        <w:t xml:space="preserve">. A una razón 3:1 de RE a TR, el rendimiento de biogás </w:t>
      </w:r>
      <w:r w:rsidR="00B74BF8" w:rsidRPr="00686018">
        <w:rPr>
          <w:rFonts w:ascii="Times New Roman" w:hAnsi="Times New Roman" w:cs="Times New Roman"/>
          <w:sz w:val="24"/>
        </w:rPr>
        <w:t xml:space="preserve">fue de </w:t>
      </w:r>
      <w:r w:rsidR="00F831FF" w:rsidRPr="00686018">
        <w:rPr>
          <w:rFonts w:ascii="Times New Roman" w:hAnsi="Times New Roman" w:cs="Times New Roman"/>
          <w:sz w:val="24"/>
        </w:rPr>
        <w:t>427.787</w:t>
      </w:r>
      <w:r w:rsidR="00DD14D0">
        <w:rPr>
          <w:rFonts w:ascii="Times New Roman" w:hAnsi="Times New Roman" w:cs="Times New Roman"/>
          <w:sz w:val="24"/>
        </w:rPr>
        <w:t>mL</w:t>
      </w:r>
      <w:r w:rsidR="00F831FF" w:rsidRPr="00686018">
        <w:rPr>
          <w:rFonts w:ascii="Times New Roman" w:hAnsi="Times New Roman" w:cs="Times New Roman"/>
          <w:sz w:val="24"/>
        </w:rPr>
        <w:t>/g-SV</w:t>
      </w:r>
      <w:r w:rsidR="00B74BF8" w:rsidRPr="00686018">
        <w:rPr>
          <w:rFonts w:ascii="Times New Roman" w:hAnsi="Times New Roman" w:cs="Times New Roman"/>
          <w:sz w:val="24"/>
        </w:rPr>
        <w:t>, ligeramente menor a TR (</w:t>
      </w:r>
      <w:r w:rsidR="00F831FF" w:rsidRPr="00686018">
        <w:rPr>
          <w:rFonts w:ascii="Times New Roman" w:hAnsi="Times New Roman" w:cs="Times New Roman"/>
          <w:sz w:val="24"/>
        </w:rPr>
        <w:t>460.891</w:t>
      </w:r>
      <w:r w:rsidR="00DD14D0">
        <w:rPr>
          <w:rFonts w:ascii="Times New Roman" w:hAnsi="Times New Roman" w:cs="Times New Roman"/>
          <w:sz w:val="24"/>
        </w:rPr>
        <w:t>mL</w:t>
      </w:r>
      <w:r w:rsidR="00F831FF" w:rsidRPr="00686018">
        <w:rPr>
          <w:rFonts w:ascii="Times New Roman" w:hAnsi="Times New Roman" w:cs="Times New Roman"/>
          <w:sz w:val="24"/>
        </w:rPr>
        <w:t>/g-SV</w:t>
      </w:r>
      <w:r w:rsidR="00B74BF8" w:rsidRPr="00686018">
        <w:rPr>
          <w:rFonts w:ascii="Times New Roman" w:hAnsi="Times New Roman" w:cs="Times New Roman"/>
          <w:sz w:val="24"/>
        </w:rPr>
        <w:t>) y más alto que RE (</w:t>
      </w:r>
      <w:r w:rsidR="00DF7D54" w:rsidRPr="00686018">
        <w:rPr>
          <w:rFonts w:ascii="Times New Roman" w:hAnsi="Times New Roman" w:cs="Times New Roman"/>
          <w:sz w:val="24"/>
        </w:rPr>
        <w:t>365.</w:t>
      </w:r>
      <w:r w:rsidR="00C44C20">
        <w:rPr>
          <w:rFonts w:ascii="Times New Roman" w:hAnsi="Times New Roman" w:cs="Times New Roman"/>
          <w:sz w:val="24"/>
        </w:rPr>
        <w:t>335</w:t>
      </w:r>
      <w:r w:rsidR="00DD14D0">
        <w:rPr>
          <w:rFonts w:ascii="Times New Roman" w:hAnsi="Times New Roman" w:cs="Times New Roman"/>
          <w:sz w:val="24"/>
        </w:rPr>
        <w:t>mL</w:t>
      </w:r>
      <w:r w:rsidR="00F831FF" w:rsidRPr="00686018">
        <w:rPr>
          <w:rFonts w:ascii="Times New Roman" w:hAnsi="Times New Roman" w:cs="Times New Roman"/>
          <w:sz w:val="24"/>
        </w:rPr>
        <w:t>/g-SV</w:t>
      </w:r>
      <w:r w:rsidR="00E42D53" w:rsidRPr="00686018">
        <w:rPr>
          <w:rFonts w:ascii="Times New Roman" w:hAnsi="Times New Roman" w:cs="Times New Roman"/>
          <w:sz w:val="24"/>
        </w:rPr>
        <w:t>) en mono</w:t>
      </w:r>
      <w:r w:rsidR="00406098" w:rsidRPr="00686018">
        <w:rPr>
          <w:rFonts w:ascii="Times New Roman" w:hAnsi="Times New Roman" w:cs="Times New Roman"/>
          <w:sz w:val="24"/>
        </w:rPr>
        <w:t>digestión</w:t>
      </w:r>
      <w:r w:rsidR="00B74BF8" w:rsidRPr="00686018">
        <w:rPr>
          <w:rFonts w:ascii="Times New Roman" w:hAnsi="Times New Roman" w:cs="Times New Roman"/>
          <w:sz w:val="24"/>
        </w:rPr>
        <w:t>.</w:t>
      </w:r>
      <w:r w:rsidR="0051647B" w:rsidRPr="00686018">
        <w:rPr>
          <w:rFonts w:ascii="Times New Roman" w:hAnsi="Times New Roman" w:cs="Times New Roman"/>
          <w:sz w:val="24"/>
        </w:rPr>
        <w:t xml:space="preserve"> </w:t>
      </w:r>
      <w:r w:rsidR="00162285" w:rsidRPr="00686018">
        <w:rPr>
          <w:rFonts w:ascii="Times New Roman" w:hAnsi="Times New Roman" w:cs="Times New Roman"/>
          <w:sz w:val="24"/>
        </w:rPr>
        <w:t xml:space="preserve">Cuando la razón de inoculo a sustrato fue de 1:2, se </w:t>
      </w:r>
      <w:r w:rsidR="00A21A81" w:rsidRPr="00686018">
        <w:rPr>
          <w:rFonts w:ascii="Times New Roman" w:hAnsi="Times New Roman" w:cs="Times New Roman"/>
          <w:sz w:val="24"/>
        </w:rPr>
        <w:t>presentó</w:t>
      </w:r>
      <w:r w:rsidR="00162285" w:rsidRPr="00686018">
        <w:rPr>
          <w:rFonts w:ascii="Times New Roman" w:hAnsi="Times New Roman" w:cs="Times New Roman"/>
          <w:sz w:val="24"/>
        </w:rPr>
        <w:t xml:space="preserve"> la producción más alta de biogás.</w:t>
      </w:r>
      <w:r w:rsidR="007749C9" w:rsidRPr="00686018">
        <w:rPr>
          <w:rFonts w:ascii="Times New Roman" w:hAnsi="Times New Roman" w:cs="Times New Roman"/>
          <w:sz w:val="24"/>
        </w:rPr>
        <w:t xml:space="preserve"> </w:t>
      </w:r>
      <w:r w:rsidR="00162285" w:rsidRPr="00686018">
        <w:rPr>
          <w:rFonts w:ascii="Times New Roman" w:hAnsi="Times New Roman" w:cs="Times New Roman"/>
          <w:sz w:val="24"/>
        </w:rPr>
        <w:t>A</w:t>
      </w:r>
      <w:r w:rsidR="007749C9" w:rsidRPr="00686018">
        <w:rPr>
          <w:rFonts w:ascii="Times New Roman" w:hAnsi="Times New Roman" w:cs="Times New Roman"/>
          <w:sz w:val="24"/>
        </w:rPr>
        <w:t xml:space="preserve"> una razón 3:1 de RE a TR, el rendimiento de biogás fue de </w:t>
      </w:r>
      <w:r w:rsidR="00DF7D54" w:rsidRPr="00686018">
        <w:rPr>
          <w:rFonts w:ascii="Times New Roman" w:hAnsi="Times New Roman" w:cs="Times New Roman"/>
          <w:sz w:val="24"/>
        </w:rPr>
        <w:t>502.</w:t>
      </w:r>
      <w:r w:rsidR="00F831FF" w:rsidRPr="00686018">
        <w:rPr>
          <w:rFonts w:ascii="Times New Roman" w:hAnsi="Times New Roman" w:cs="Times New Roman"/>
          <w:sz w:val="24"/>
        </w:rPr>
        <w:t>903</w:t>
      </w:r>
      <w:r w:rsidR="00DD14D0">
        <w:rPr>
          <w:rFonts w:ascii="Times New Roman" w:hAnsi="Times New Roman" w:cs="Times New Roman"/>
          <w:sz w:val="24"/>
        </w:rPr>
        <w:t>mL</w:t>
      </w:r>
      <w:r w:rsidR="00F831FF" w:rsidRPr="00686018">
        <w:rPr>
          <w:rFonts w:ascii="Times New Roman" w:hAnsi="Times New Roman" w:cs="Times New Roman"/>
          <w:sz w:val="24"/>
        </w:rPr>
        <w:t>/g-SV</w:t>
      </w:r>
      <w:r w:rsidR="007749C9" w:rsidRPr="00686018">
        <w:rPr>
          <w:rFonts w:ascii="Times New Roman" w:hAnsi="Times New Roman" w:cs="Times New Roman"/>
          <w:sz w:val="24"/>
        </w:rPr>
        <w:t>, más alto que RE (</w:t>
      </w:r>
      <w:r w:rsidR="00DF7D54" w:rsidRPr="00686018">
        <w:rPr>
          <w:rFonts w:ascii="Times New Roman" w:hAnsi="Times New Roman" w:cs="Times New Roman"/>
          <w:sz w:val="24"/>
        </w:rPr>
        <w:t>375.</w:t>
      </w:r>
      <w:r w:rsidR="00F831FF" w:rsidRPr="00686018">
        <w:rPr>
          <w:rFonts w:ascii="Times New Roman" w:hAnsi="Times New Roman" w:cs="Times New Roman"/>
          <w:sz w:val="24"/>
        </w:rPr>
        <w:t>441</w:t>
      </w:r>
      <w:r w:rsidR="00DD14D0">
        <w:rPr>
          <w:rFonts w:ascii="Times New Roman" w:hAnsi="Times New Roman" w:cs="Times New Roman"/>
          <w:sz w:val="24"/>
        </w:rPr>
        <w:t>mL</w:t>
      </w:r>
      <w:r w:rsidR="00F831FF" w:rsidRPr="00686018">
        <w:rPr>
          <w:rFonts w:ascii="Times New Roman" w:hAnsi="Times New Roman" w:cs="Times New Roman"/>
          <w:sz w:val="24"/>
        </w:rPr>
        <w:t>/g-SV</w:t>
      </w:r>
      <w:r w:rsidR="007749C9" w:rsidRPr="00686018">
        <w:rPr>
          <w:rFonts w:ascii="Times New Roman" w:hAnsi="Times New Roman" w:cs="Times New Roman"/>
          <w:sz w:val="24"/>
        </w:rPr>
        <w:t xml:space="preserve">) </w:t>
      </w:r>
      <w:r w:rsidR="00F831FF" w:rsidRPr="00686018">
        <w:rPr>
          <w:rFonts w:ascii="Times New Roman" w:hAnsi="Times New Roman" w:cs="Times New Roman"/>
          <w:sz w:val="24"/>
        </w:rPr>
        <w:t xml:space="preserve">y </w:t>
      </w:r>
      <w:r w:rsidR="007749C9" w:rsidRPr="00686018">
        <w:rPr>
          <w:rFonts w:ascii="Times New Roman" w:hAnsi="Times New Roman" w:cs="Times New Roman"/>
          <w:sz w:val="24"/>
        </w:rPr>
        <w:t>TR (</w:t>
      </w:r>
      <w:r w:rsidR="00DF7D54" w:rsidRPr="00686018">
        <w:rPr>
          <w:rFonts w:ascii="Times New Roman" w:hAnsi="Times New Roman" w:cs="Times New Roman"/>
          <w:sz w:val="24"/>
        </w:rPr>
        <w:t>329.</w:t>
      </w:r>
      <w:r w:rsidR="00C44C20">
        <w:rPr>
          <w:rFonts w:ascii="Times New Roman" w:hAnsi="Times New Roman" w:cs="Times New Roman"/>
          <w:sz w:val="24"/>
        </w:rPr>
        <w:t>639</w:t>
      </w:r>
      <w:r w:rsidR="00DD14D0">
        <w:rPr>
          <w:rFonts w:ascii="Times New Roman" w:hAnsi="Times New Roman" w:cs="Times New Roman"/>
          <w:sz w:val="24"/>
        </w:rPr>
        <w:t>mL</w:t>
      </w:r>
      <w:r w:rsidR="00F831FF" w:rsidRPr="00686018">
        <w:rPr>
          <w:rFonts w:ascii="Times New Roman" w:hAnsi="Times New Roman" w:cs="Times New Roman"/>
          <w:sz w:val="24"/>
        </w:rPr>
        <w:t>/g-SV</w:t>
      </w:r>
      <w:r w:rsidR="007749C9" w:rsidRPr="00686018">
        <w:rPr>
          <w:rFonts w:ascii="Times New Roman" w:hAnsi="Times New Roman" w:cs="Times New Roman"/>
          <w:sz w:val="24"/>
        </w:rPr>
        <w:t xml:space="preserve">) </w:t>
      </w:r>
      <w:r w:rsidR="004F5813" w:rsidRPr="00686018">
        <w:rPr>
          <w:rFonts w:ascii="Times New Roman" w:hAnsi="Times New Roman" w:cs="Times New Roman"/>
          <w:sz w:val="24"/>
        </w:rPr>
        <w:t>en mono</w:t>
      </w:r>
      <w:r w:rsidR="00406098" w:rsidRPr="00686018">
        <w:rPr>
          <w:rFonts w:ascii="Times New Roman" w:hAnsi="Times New Roman" w:cs="Times New Roman"/>
          <w:sz w:val="24"/>
        </w:rPr>
        <w:t>digestión</w:t>
      </w:r>
      <w:r w:rsidR="007749C9" w:rsidRPr="00686018">
        <w:rPr>
          <w:rFonts w:ascii="Times New Roman" w:hAnsi="Times New Roman" w:cs="Times New Roman"/>
          <w:sz w:val="24"/>
        </w:rPr>
        <w:t>.</w:t>
      </w:r>
    </w:p>
    <w:p w:rsidR="0081500F" w:rsidRPr="00686018" w:rsidRDefault="0081500F" w:rsidP="00A31608">
      <w:pPr>
        <w:pStyle w:val="Descripcin"/>
        <w:jc w:val="both"/>
        <w:rPr>
          <w:rFonts w:ascii="Times New Roman" w:hAnsi="Times New Roman" w:cs="Times New Roman"/>
          <w:i w:val="0"/>
          <w:color w:val="auto"/>
        </w:rPr>
      </w:pPr>
      <w:bookmarkStart w:id="232" w:name="_Toc9537913"/>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10</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w:t>
      </w:r>
      <w:r w:rsidR="00F831FF" w:rsidRPr="00686018">
        <w:rPr>
          <w:rFonts w:ascii="Times New Roman" w:hAnsi="Times New Roman" w:cs="Times New Roman"/>
          <w:i w:val="0"/>
          <w:color w:val="auto"/>
        </w:rPr>
        <w:t>B</w:t>
      </w:r>
      <w:r w:rsidRPr="00686018">
        <w:rPr>
          <w:rFonts w:ascii="Times New Roman" w:hAnsi="Times New Roman" w:cs="Times New Roman"/>
          <w:i w:val="0"/>
          <w:color w:val="auto"/>
        </w:rPr>
        <w:t xml:space="preserve">iogás </w:t>
      </w:r>
      <w:r w:rsidR="00A21A81" w:rsidRPr="00686018">
        <w:rPr>
          <w:rFonts w:ascii="Times New Roman" w:hAnsi="Times New Roman" w:cs="Times New Roman"/>
          <w:i w:val="0"/>
          <w:color w:val="auto"/>
        </w:rPr>
        <w:t>acumulado</w:t>
      </w:r>
      <w:r w:rsidRPr="00686018">
        <w:rPr>
          <w:rFonts w:ascii="Times New Roman" w:hAnsi="Times New Roman" w:cs="Times New Roman"/>
          <w:i w:val="0"/>
          <w:color w:val="auto"/>
        </w:rPr>
        <w:t xml:space="preserve"> </w:t>
      </w:r>
      <w:r w:rsidR="00080672" w:rsidRPr="00686018">
        <w:rPr>
          <w:rFonts w:ascii="Times New Roman" w:hAnsi="Times New Roman" w:cs="Times New Roman"/>
          <w:i w:val="0"/>
          <w:color w:val="auto"/>
        </w:rPr>
        <w:t xml:space="preserve">promedio </w:t>
      </w:r>
      <w:r w:rsidRPr="00686018">
        <w:rPr>
          <w:rFonts w:ascii="Times New Roman" w:hAnsi="Times New Roman" w:cs="Times New Roman"/>
          <w:i w:val="0"/>
          <w:color w:val="auto"/>
        </w:rPr>
        <w:t>con relaciones diferent</w:t>
      </w:r>
      <w:r w:rsidR="00A21A81" w:rsidRPr="00686018">
        <w:rPr>
          <w:rFonts w:ascii="Times New Roman" w:hAnsi="Times New Roman" w:cs="Times New Roman"/>
          <w:i w:val="0"/>
          <w:color w:val="auto"/>
        </w:rPr>
        <w:t>es de I:S y RE:</w:t>
      </w:r>
      <w:r w:rsidRPr="00686018">
        <w:rPr>
          <w:rFonts w:ascii="Times New Roman" w:hAnsi="Times New Roman" w:cs="Times New Roman"/>
          <w:i w:val="0"/>
          <w:color w:val="auto"/>
        </w:rPr>
        <w:t>TR</w:t>
      </w:r>
      <w:bookmarkEnd w:id="232"/>
    </w:p>
    <w:tbl>
      <w:tblPr>
        <w:tblW w:w="7922" w:type="dxa"/>
        <w:jc w:val="center"/>
        <w:tblCellMar>
          <w:left w:w="70" w:type="dxa"/>
          <w:right w:w="70" w:type="dxa"/>
        </w:tblCellMar>
        <w:tblLook w:val="04A0" w:firstRow="1" w:lastRow="0" w:firstColumn="1" w:lastColumn="0" w:noHBand="0" w:noVBand="1"/>
      </w:tblPr>
      <w:tblGrid>
        <w:gridCol w:w="1095"/>
        <w:gridCol w:w="1350"/>
        <w:gridCol w:w="1095"/>
        <w:gridCol w:w="1095"/>
        <w:gridCol w:w="1095"/>
        <w:gridCol w:w="1095"/>
        <w:gridCol w:w="1097"/>
      </w:tblGrid>
      <w:tr w:rsidR="00F831FF" w:rsidRPr="00686018" w:rsidTr="00711FF6">
        <w:trPr>
          <w:trHeight w:val="539"/>
          <w:jc w:val="center"/>
        </w:trPr>
        <w:tc>
          <w:tcPr>
            <w:tcW w:w="1095" w:type="dxa"/>
            <w:vMerge w:val="restart"/>
            <w:tcBorders>
              <w:top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Relación I/S</w:t>
            </w:r>
          </w:p>
        </w:tc>
        <w:tc>
          <w:tcPr>
            <w:tcW w:w="1350" w:type="dxa"/>
            <w:vMerge w:val="restart"/>
            <w:tcBorders>
              <w:top w:val="single" w:sz="4" w:space="0" w:color="auto"/>
            </w:tcBorders>
            <w:shd w:val="clear" w:color="auto" w:fill="auto"/>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Carga orgánica (g-SV)</w:t>
            </w:r>
          </w:p>
        </w:tc>
        <w:tc>
          <w:tcPr>
            <w:tcW w:w="5477" w:type="dxa"/>
            <w:gridSpan w:val="5"/>
            <w:tcBorders>
              <w:top w:val="single" w:sz="4" w:space="0" w:color="auto"/>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Biogás</w:t>
            </w:r>
            <w:r w:rsidR="003D11AA" w:rsidRPr="00686018">
              <w:rPr>
                <w:rFonts w:ascii="Times New Roman" w:eastAsia="Times New Roman" w:hAnsi="Times New Roman" w:cs="Times New Roman"/>
                <w:b/>
                <w:bCs/>
                <w:sz w:val="18"/>
                <w:lang w:eastAsia="es-EC"/>
              </w:rPr>
              <w:t xml:space="preserve"> (</w:t>
            </w:r>
            <w:r w:rsidR="00DD14D0">
              <w:rPr>
                <w:rFonts w:ascii="Times New Roman" w:eastAsia="Times New Roman" w:hAnsi="Times New Roman" w:cs="Times New Roman"/>
                <w:b/>
                <w:bCs/>
                <w:sz w:val="18"/>
                <w:lang w:eastAsia="es-EC"/>
              </w:rPr>
              <w:t>mL</w:t>
            </w:r>
            <w:r w:rsidR="003D11AA" w:rsidRPr="00686018">
              <w:rPr>
                <w:rFonts w:ascii="Times New Roman" w:eastAsia="Times New Roman" w:hAnsi="Times New Roman" w:cs="Times New Roman"/>
                <w:b/>
                <w:bCs/>
                <w:sz w:val="18"/>
                <w:lang w:eastAsia="es-EC"/>
              </w:rPr>
              <w:t xml:space="preserve">/g-SV) </w:t>
            </w:r>
            <w:r w:rsidRPr="00686018">
              <w:rPr>
                <w:rFonts w:ascii="Times New Roman" w:eastAsia="Times New Roman" w:hAnsi="Times New Roman" w:cs="Times New Roman"/>
                <w:b/>
                <w:bCs/>
                <w:sz w:val="18"/>
                <w:lang w:eastAsia="es-EC"/>
              </w:rPr>
              <w:t>acumulado</w:t>
            </w:r>
          </w:p>
        </w:tc>
      </w:tr>
      <w:tr w:rsidR="00F831FF" w:rsidRPr="00686018" w:rsidTr="00711FF6">
        <w:trPr>
          <w:trHeight w:val="539"/>
          <w:jc w:val="center"/>
        </w:trPr>
        <w:tc>
          <w:tcPr>
            <w:tcW w:w="1095" w:type="dxa"/>
            <w:vMerge/>
            <w:tcBorders>
              <w:bottom w:val="single" w:sz="4" w:space="0" w:color="auto"/>
            </w:tcBorders>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p>
        </w:tc>
        <w:tc>
          <w:tcPr>
            <w:tcW w:w="1350" w:type="dxa"/>
            <w:vMerge/>
            <w:tcBorders>
              <w:bottom w:val="single" w:sz="4" w:space="0" w:color="auto"/>
            </w:tcBorders>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p>
        </w:tc>
        <w:tc>
          <w:tcPr>
            <w:tcW w:w="1095" w:type="dxa"/>
            <w:tcBorders>
              <w:top w:val="single" w:sz="4" w:space="0" w:color="auto"/>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RE:TR-0:4</w:t>
            </w:r>
          </w:p>
        </w:tc>
        <w:tc>
          <w:tcPr>
            <w:tcW w:w="1095" w:type="dxa"/>
            <w:tcBorders>
              <w:top w:val="single" w:sz="4" w:space="0" w:color="auto"/>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RE:TR-1:3</w:t>
            </w:r>
          </w:p>
        </w:tc>
        <w:tc>
          <w:tcPr>
            <w:tcW w:w="1095" w:type="dxa"/>
            <w:tcBorders>
              <w:top w:val="single" w:sz="4" w:space="0" w:color="auto"/>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RE:TR-2:2</w:t>
            </w:r>
          </w:p>
        </w:tc>
        <w:tc>
          <w:tcPr>
            <w:tcW w:w="1095" w:type="dxa"/>
            <w:tcBorders>
              <w:top w:val="single" w:sz="4" w:space="0" w:color="auto"/>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RE:TR-3:1</w:t>
            </w:r>
          </w:p>
        </w:tc>
        <w:tc>
          <w:tcPr>
            <w:tcW w:w="1095" w:type="dxa"/>
            <w:tcBorders>
              <w:top w:val="single" w:sz="4" w:space="0" w:color="auto"/>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RE:TR-4:0</w:t>
            </w:r>
          </w:p>
        </w:tc>
      </w:tr>
      <w:tr w:rsidR="00F831FF" w:rsidRPr="00686018" w:rsidTr="00711FF6">
        <w:trPr>
          <w:trHeight w:val="539"/>
          <w:jc w:val="center"/>
        </w:trPr>
        <w:tc>
          <w:tcPr>
            <w:tcW w:w="1095" w:type="dxa"/>
            <w:tcBorders>
              <w:top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I:S - 2:1</w:t>
            </w:r>
          </w:p>
        </w:tc>
        <w:tc>
          <w:tcPr>
            <w:tcW w:w="1350" w:type="dxa"/>
            <w:tcBorders>
              <w:top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1</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116</w:t>
            </w:r>
          </w:p>
        </w:tc>
        <w:tc>
          <w:tcPr>
            <w:tcW w:w="1095" w:type="dxa"/>
            <w:tcBorders>
              <w:top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477</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754</w:t>
            </w:r>
          </w:p>
        </w:tc>
        <w:tc>
          <w:tcPr>
            <w:tcW w:w="1095" w:type="dxa"/>
            <w:tcBorders>
              <w:top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479</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930</w:t>
            </w:r>
          </w:p>
        </w:tc>
        <w:tc>
          <w:tcPr>
            <w:tcW w:w="1095" w:type="dxa"/>
            <w:tcBorders>
              <w:top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493</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247</w:t>
            </w:r>
          </w:p>
        </w:tc>
        <w:tc>
          <w:tcPr>
            <w:tcW w:w="1095" w:type="dxa"/>
            <w:tcBorders>
              <w:top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421</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726</w:t>
            </w:r>
          </w:p>
        </w:tc>
        <w:tc>
          <w:tcPr>
            <w:tcW w:w="1095" w:type="dxa"/>
            <w:tcBorders>
              <w:top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354</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525</w:t>
            </w:r>
          </w:p>
        </w:tc>
      </w:tr>
      <w:tr w:rsidR="00F831FF" w:rsidRPr="00686018" w:rsidTr="00711FF6">
        <w:trPr>
          <w:trHeight w:val="539"/>
          <w:jc w:val="center"/>
        </w:trPr>
        <w:tc>
          <w:tcPr>
            <w:tcW w:w="1095" w:type="dxa"/>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I:S - 1:1</w:t>
            </w:r>
          </w:p>
        </w:tc>
        <w:tc>
          <w:tcPr>
            <w:tcW w:w="1350" w:type="dxa"/>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1</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674</w:t>
            </w:r>
          </w:p>
        </w:tc>
        <w:tc>
          <w:tcPr>
            <w:tcW w:w="1095" w:type="dxa"/>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460</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891</w:t>
            </w:r>
          </w:p>
        </w:tc>
        <w:tc>
          <w:tcPr>
            <w:tcW w:w="1095" w:type="dxa"/>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417</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822</w:t>
            </w:r>
          </w:p>
        </w:tc>
        <w:tc>
          <w:tcPr>
            <w:tcW w:w="1095" w:type="dxa"/>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378</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457</w:t>
            </w:r>
          </w:p>
        </w:tc>
        <w:tc>
          <w:tcPr>
            <w:tcW w:w="1095" w:type="dxa"/>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427</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787</w:t>
            </w:r>
          </w:p>
        </w:tc>
        <w:tc>
          <w:tcPr>
            <w:tcW w:w="1095" w:type="dxa"/>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365</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335</w:t>
            </w:r>
          </w:p>
        </w:tc>
      </w:tr>
      <w:tr w:rsidR="00F831FF" w:rsidRPr="00686018" w:rsidTr="00711FF6">
        <w:trPr>
          <w:trHeight w:val="539"/>
          <w:jc w:val="center"/>
        </w:trPr>
        <w:tc>
          <w:tcPr>
            <w:tcW w:w="1095" w:type="dxa"/>
            <w:tcBorders>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I:S - 1:2</w:t>
            </w:r>
          </w:p>
        </w:tc>
        <w:tc>
          <w:tcPr>
            <w:tcW w:w="1350" w:type="dxa"/>
            <w:tcBorders>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232</w:t>
            </w:r>
          </w:p>
        </w:tc>
        <w:tc>
          <w:tcPr>
            <w:tcW w:w="1095" w:type="dxa"/>
            <w:tcBorders>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329</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639</w:t>
            </w:r>
          </w:p>
        </w:tc>
        <w:tc>
          <w:tcPr>
            <w:tcW w:w="1095" w:type="dxa"/>
            <w:tcBorders>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411</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732</w:t>
            </w:r>
          </w:p>
        </w:tc>
        <w:tc>
          <w:tcPr>
            <w:tcW w:w="1095" w:type="dxa"/>
            <w:tcBorders>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455</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434</w:t>
            </w:r>
          </w:p>
        </w:tc>
        <w:tc>
          <w:tcPr>
            <w:tcW w:w="1095" w:type="dxa"/>
            <w:tcBorders>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502</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903</w:t>
            </w:r>
          </w:p>
        </w:tc>
        <w:tc>
          <w:tcPr>
            <w:tcW w:w="1095" w:type="dxa"/>
            <w:tcBorders>
              <w:bottom w:val="single" w:sz="4" w:space="0" w:color="auto"/>
            </w:tcBorders>
            <w:shd w:val="clear" w:color="auto" w:fill="auto"/>
            <w:noWrap/>
            <w:vAlign w:val="center"/>
            <w:hideMark/>
          </w:tcPr>
          <w:p w:rsidR="00F831FF" w:rsidRPr="00686018" w:rsidRDefault="00F831FF" w:rsidP="00A31608">
            <w:pPr>
              <w:spacing w:after="0" w:line="240" w:lineRule="auto"/>
              <w:jc w:val="both"/>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375</w:t>
            </w:r>
            <w:r w:rsidR="00DF7D54"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441</w:t>
            </w:r>
          </w:p>
        </w:tc>
      </w:tr>
    </w:tbl>
    <w:p w:rsidR="0081500F" w:rsidRPr="00686018" w:rsidRDefault="0081500F"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A77D80" w:rsidRPr="00686018" w:rsidRDefault="00EB1186" w:rsidP="00A31608">
      <w:pPr>
        <w:spacing w:before="360" w:after="360"/>
        <w:jc w:val="both"/>
        <w:rPr>
          <w:rFonts w:ascii="Times New Roman" w:hAnsi="Times New Roman" w:cs="Times New Roman"/>
          <w:b/>
          <w:sz w:val="24"/>
        </w:rPr>
      </w:pPr>
      <w:r w:rsidRPr="00686018">
        <w:rPr>
          <w:rFonts w:ascii="Times New Roman" w:hAnsi="Times New Roman" w:cs="Times New Roman"/>
          <w:sz w:val="24"/>
        </w:rPr>
        <w:lastRenderedPageBreak/>
        <w:t>A medida que la cantidad de inóculo disminuye en los digestores con respecto al sustrato, el rendimiento de biogás acumulado (RBA) también disminuye para los tratamientos RE:TR a razones 0:4 a 2:2. Sin embargo, a razones 3:1 y 4:0 de RE a TR la cantidad de biogás acumulado se incrementa de 421.726</w:t>
      </w:r>
      <w:r w:rsidR="00DD14D0">
        <w:rPr>
          <w:rFonts w:ascii="Times New Roman" w:hAnsi="Times New Roman" w:cs="Times New Roman"/>
          <w:sz w:val="24"/>
        </w:rPr>
        <w:t>mL</w:t>
      </w:r>
      <w:r w:rsidRPr="00686018">
        <w:rPr>
          <w:rFonts w:ascii="Times New Roman" w:hAnsi="Times New Roman" w:cs="Times New Roman"/>
          <w:sz w:val="24"/>
        </w:rPr>
        <w:t>/g-SV a 502.</w:t>
      </w:r>
      <w:r w:rsidR="001514FB" w:rsidRPr="00686018">
        <w:rPr>
          <w:rFonts w:ascii="Times New Roman" w:hAnsi="Times New Roman" w:cs="Times New Roman"/>
          <w:sz w:val="24"/>
        </w:rPr>
        <w:t>903</w:t>
      </w:r>
      <w:r w:rsidR="00DD14D0">
        <w:rPr>
          <w:rFonts w:ascii="Times New Roman" w:hAnsi="Times New Roman" w:cs="Times New Roman"/>
          <w:sz w:val="24"/>
        </w:rPr>
        <w:t>mL</w:t>
      </w:r>
      <w:r w:rsidR="001514FB" w:rsidRPr="00686018">
        <w:rPr>
          <w:rFonts w:ascii="Times New Roman" w:hAnsi="Times New Roman" w:cs="Times New Roman"/>
          <w:sz w:val="24"/>
        </w:rPr>
        <w:t>/g-SV, lo mism</w:t>
      </w:r>
      <w:r w:rsidRPr="00686018">
        <w:rPr>
          <w:rFonts w:ascii="Times New Roman" w:hAnsi="Times New Roman" w:cs="Times New Roman"/>
          <w:sz w:val="24"/>
        </w:rPr>
        <w:t xml:space="preserve">o acurre con la relación </w:t>
      </w:r>
      <w:r w:rsidR="001514FB" w:rsidRPr="00686018">
        <w:rPr>
          <w:rFonts w:ascii="Times New Roman" w:hAnsi="Times New Roman" w:cs="Times New Roman"/>
          <w:sz w:val="24"/>
        </w:rPr>
        <w:t>4:0.</w:t>
      </w:r>
      <w:r w:rsidRPr="00686018">
        <w:rPr>
          <w:rFonts w:ascii="Times New Roman" w:hAnsi="Times New Roman" w:cs="Times New Roman"/>
          <w:sz w:val="24"/>
        </w:rPr>
        <w:t xml:space="preserve"> </w:t>
      </w:r>
      <w:r w:rsidR="001514FB" w:rsidRPr="00686018">
        <w:rPr>
          <w:rFonts w:ascii="Times New Roman" w:hAnsi="Times New Roman" w:cs="Times New Roman"/>
          <w:sz w:val="24"/>
        </w:rPr>
        <w:t xml:space="preserve">Indicando que añadir un </w:t>
      </w:r>
      <w:r w:rsidR="007A0FA9" w:rsidRPr="00686018">
        <w:rPr>
          <w:rFonts w:ascii="Times New Roman" w:hAnsi="Times New Roman" w:cs="Times New Roman"/>
          <w:sz w:val="24"/>
        </w:rPr>
        <w:t>bajo porcentaje</w:t>
      </w:r>
      <w:r w:rsidR="001514FB" w:rsidRPr="00686018">
        <w:rPr>
          <w:rFonts w:ascii="Times New Roman" w:hAnsi="Times New Roman" w:cs="Times New Roman"/>
          <w:sz w:val="24"/>
        </w:rPr>
        <w:t xml:space="preserve"> de inoculo y un alto porcentaje de RE fa</w:t>
      </w:r>
      <w:r w:rsidR="00080672" w:rsidRPr="00686018">
        <w:rPr>
          <w:rFonts w:ascii="Times New Roman" w:hAnsi="Times New Roman" w:cs="Times New Roman"/>
          <w:sz w:val="24"/>
        </w:rPr>
        <w:t>vorece la producción de biogás</w:t>
      </w:r>
      <w:r w:rsidR="00860D8D" w:rsidRPr="00686018">
        <w:rPr>
          <w:rFonts w:ascii="Times New Roman" w:hAnsi="Times New Roman" w:cs="Times New Roman"/>
          <w:sz w:val="24"/>
        </w:rPr>
        <w:t xml:space="preserve"> </w:t>
      </w:r>
      <w:r w:rsidR="006E31EF">
        <w:rPr>
          <w:rFonts w:ascii="Times New Roman" w:hAnsi="Times New Roman" w:cs="Times New Roman"/>
          <w:b/>
          <w:sz w:val="24"/>
        </w:rPr>
        <w:t>(figura 20</w:t>
      </w:r>
      <w:r w:rsidR="00860D8D" w:rsidRPr="00686018">
        <w:rPr>
          <w:rFonts w:ascii="Times New Roman" w:hAnsi="Times New Roman" w:cs="Times New Roman"/>
          <w:b/>
          <w:sz w:val="24"/>
        </w:rPr>
        <w:t>)</w:t>
      </w:r>
      <w:r w:rsidR="00080672" w:rsidRPr="00686018">
        <w:rPr>
          <w:rFonts w:ascii="Times New Roman" w:hAnsi="Times New Roman" w:cs="Times New Roman"/>
          <w:sz w:val="24"/>
        </w:rPr>
        <w:t>. La</w:t>
      </w:r>
      <w:r w:rsidR="00E42D53" w:rsidRPr="00686018">
        <w:rPr>
          <w:rFonts w:ascii="Times New Roman" w:hAnsi="Times New Roman" w:cs="Times New Roman"/>
          <w:sz w:val="24"/>
        </w:rPr>
        <w:t>s</w:t>
      </w:r>
      <w:r w:rsidR="00080672" w:rsidRPr="00686018">
        <w:rPr>
          <w:rFonts w:ascii="Times New Roman" w:hAnsi="Times New Roman" w:cs="Times New Roman"/>
          <w:sz w:val="24"/>
        </w:rPr>
        <w:t xml:space="preserve"> </w:t>
      </w:r>
      <w:r w:rsidR="007C6631" w:rsidRPr="00686018">
        <w:rPr>
          <w:rFonts w:ascii="Times New Roman" w:hAnsi="Times New Roman" w:cs="Times New Roman"/>
          <w:sz w:val="24"/>
        </w:rPr>
        <w:t>tabla</w:t>
      </w:r>
      <w:r w:rsidR="00E42D53" w:rsidRPr="00686018">
        <w:rPr>
          <w:rFonts w:ascii="Times New Roman" w:hAnsi="Times New Roman" w:cs="Times New Roman"/>
          <w:sz w:val="24"/>
        </w:rPr>
        <w:t>s</w:t>
      </w:r>
      <w:r w:rsidR="007C6631" w:rsidRPr="00686018">
        <w:rPr>
          <w:rFonts w:ascii="Times New Roman" w:hAnsi="Times New Roman" w:cs="Times New Roman"/>
          <w:sz w:val="24"/>
        </w:rPr>
        <w:t xml:space="preserve"> de </w:t>
      </w:r>
      <w:r w:rsidR="00080672" w:rsidRPr="00686018">
        <w:rPr>
          <w:rFonts w:ascii="Times New Roman" w:hAnsi="Times New Roman" w:cs="Times New Roman"/>
          <w:sz w:val="24"/>
        </w:rPr>
        <w:t xml:space="preserve">concentración de biogás </w:t>
      </w:r>
      <w:r w:rsidR="007C6631" w:rsidRPr="00686018">
        <w:rPr>
          <w:rFonts w:ascii="Times New Roman" w:hAnsi="Times New Roman" w:cs="Times New Roman"/>
          <w:sz w:val="24"/>
        </w:rPr>
        <w:t xml:space="preserve">y metano </w:t>
      </w:r>
      <w:r w:rsidR="00080672" w:rsidRPr="00686018">
        <w:rPr>
          <w:rFonts w:ascii="Times New Roman" w:hAnsi="Times New Roman" w:cs="Times New Roman"/>
          <w:sz w:val="24"/>
        </w:rPr>
        <w:t>acumulado se presenta</w:t>
      </w:r>
      <w:r w:rsidR="00962CB2" w:rsidRPr="00686018">
        <w:rPr>
          <w:rFonts w:ascii="Times New Roman" w:hAnsi="Times New Roman" w:cs="Times New Roman"/>
          <w:sz w:val="24"/>
        </w:rPr>
        <w:t>n</w:t>
      </w:r>
      <w:r w:rsidR="00080672" w:rsidRPr="00686018">
        <w:rPr>
          <w:rFonts w:ascii="Times New Roman" w:hAnsi="Times New Roman" w:cs="Times New Roman"/>
          <w:sz w:val="24"/>
        </w:rPr>
        <w:t xml:space="preserve"> en el </w:t>
      </w:r>
      <w:r w:rsidR="00C35235" w:rsidRPr="00686018">
        <w:rPr>
          <w:rFonts w:ascii="Times New Roman" w:hAnsi="Times New Roman" w:cs="Times New Roman"/>
          <w:b/>
          <w:sz w:val="24"/>
        </w:rPr>
        <w:t>ANEXO 6</w:t>
      </w:r>
      <w:r w:rsidR="007C6631" w:rsidRPr="00686018">
        <w:rPr>
          <w:rFonts w:ascii="Times New Roman" w:hAnsi="Times New Roman" w:cs="Times New Roman"/>
          <w:b/>
          <w:sz w:val="24"/>
        </w:rPr>
        <w:t>.</w:t>
      </w:r>
    </w:p>
    <w:p w:rsidR="00032A12" w:rsidRPr="00686018" w:rsidRDefault="00032A12" w:rsidP="00B46DDC">
      <w:pPr>
        <w:spacing w:before="360" w:after="360"/>
        <w:jc w:val="center"/>
        <w:rPr>
          <w:rFonts w:ascii="Times New Roman" w:hAnsi="Times New Roman" w:cs="Times New Roman"/>
          <w:sz w:val="24"/>
        </w:rPr>
      </w:pPr>
      <w:r w:rsidRPr="00686018">
        <w:rPr>
          <w:rFonts w:ascii="Times New Roman" w:hAnsi="Times New Roman" w:cs="Times New Roman"/>
          <w:noProof/>
          <w:lang w:eastAsia="es-EC"/>
        </w:rPr>
        <w:drawing>
          <wp:inline distT="0" distB="0" distL="0" distR="0" wp14:anchorId="7F6C241B" wp14:editId="72B21046">
            <wp:extent cx="4869711" cy="3501390"/>
            <wp:effectExtent l="0" t="0" r="762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74482" cy="3504820"/>
                    </a:xfrm>
                    <a:prstGeom prst="rect">
                      <a:avLst/>
                    </a:prstGeom>
                  </pic:spPr>
                </pic:pic>
              </a:graphicData>
            </a:graphic>
          </wp:inline>
        </w:drawing>
      </w:r>
    </w:p>
    <w:p w:rsidR="00032A12" w:rsidRPr="00686018" w:rsidRDefault="00B639AA" w:rsidP="00B46DDC">
      <w:pPr>
        <w:pStyle w:val="Descripcin"/>
        <w:jc w:val="center"/>
        <w:rPr>
          <w:rFonts w:ascii="Times New Roman" w:hAnsi="Times New Roman" w:cs="Times New Roman"/>
          <w:b/>
          <w:i w:val="0"/>
          <w:color w:val="auto"/>
        </w:rPr>
      </w:pPr>
      <w:bookmarkStart w:id="233" w:name="_Toc9537888"/>
      <w:r>
        <w:rPr>
          <w:rFonts w:ascii="Times New Roman" w:hAnsi="Times New Roman" w:cs="Times New Roman"/>
          <w:b/>
          <w:i w:val="0"/>
          <w:color w:val="auto"/>
        </w:rPr>
        <w:t>Figura</w:t>
      </w:r>
      <w:r w:rsidR="00032A12" w:rsidRPr="00686018">
        <w:rPr>
          <w:rFonts w:ascii="Times New Roman" w:hAnsi="Times New Roman" w:cs="Times New Roman"/>
          <w:b/>
          <w:i w:val="0"/>
          <w:color w:val="auto"/>
        </w:rPr>
        <w:t xml:space="preserve"> </w:t>
      </w:r>
      <w:r w:rsidR="00032A12" w:rsidRPr="00686018">
        <w:rPr>
          <w:rFonts w:ascii="Times New Roman" w:hAnsi="Times New Roman" w:cs="Times New Roman"/>
          <w:b/>
          <w:i w:val="0"/>
          <w:color w:val="auto"/>
        </w:rPr>
        <w:fldChar w:fldCharType="begin"/>
      </w:r>
      <w:r w:rsidR="00032A12" w:rsidRPr="00686018">
        <w:rPr>
          <w:rFonts w:ascii="Times New Roman" w:hAnsi="Times New Roman" w:cs="Times New Roman"/>
          <w:b/>
          <w:i w:val="0"/>
          <w:color w:val="auto"/>
        </w:rPr>
        <w:instrText xml:space="preserve"> SEQ Figure \* ARABIC </w:instrText>
      </w:r>
      <w:r w:rsidR="00032A12"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20</w:t>
      </w:r>
      <w:r w:rsidR="00032A12" w:rsidRPr="00686018">
        <w:rPr>
          <w:rFonts w:ascii="Times New Roman" w:hAnsi="Times New Roman" w:cs="Times New Roman"/>
          <w:b/>
          <w:i w:val="0"/>
          <w:color w:val="auto"/>
        </w:rPr>
        <w:fldChar w:fldCharType="end"/>
      </w:r>
      <w:r w:rsidR="00032A12" w:rsidRPr="00686018">
        <w:rPr>
          <w:rFonts w:ascii="Times New Roman" w:hAnsi="Times New Roman" w:cs="Times New Roman"/>
          <w:b/>
          <w:i w:val="0"/>
          <w:color w:val="auto"/>
        </w:rPr>
        <w:t>.</w:t>
      </w:r>
      <w:r w:rsidR="00032A12" w:rsidRPr="00686018">
        <w:rPr>
          <w:rFonts w:ascii="Times New Roman" w:hAnsi="Times New Roman" w:cs="Times New Roman"/>
          <w:i w:val="0"/>
          <w:color w:val="auto"/>
        </w:rPr>
        <w:t xml:space="preserve"> Biogás acumulado para razones diferentes de I:S y RE:TR.</w:t>
      </w:r>
      <w:bookmarkEnd w:id="233"/>
    </w:p>
    <w:p w:rsidR="00032A12" w:rsidRPr="00686018" w:rsidRDefault="00032A12" w:rsidP="00B46DDC">
      <w:pPr>
        <w:jc w:val="center"/>
        <w:rPr>
          <w:rFonts w:ascii="Times New Roman" w:hAnsi="Times New Roman" w:cs="Times New Roman"/>
          <w:sz w:val="18"/>
        </w:rPr>
      </w:pPr>
      <w:r w:rsidRPr="00686018">
        <w:rPr>
          <w:rFonts w:ascii="Times New Roman" w:hAnsi="Times New Roman" w:cs="Times New Roman"/>
          <w:b/>
          <w:sz w:val="18"/>
        </w:rPr>
        <w:t>Fuente:</w:t>
      </w:r>
      <w:r w:rsidR="00860D8D"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AB5EA9" w:rsidRPr="00686018" w:rsidRDefault="00AB5EA9" w:rsidP="00A31608">
      <w:pPr>
        <w:pStyle w:val="Ttulo4"/>
        <w:numPr>
          <w:ilvl w:val="2"/>
          <w:numId w:val="4"/>
        </w:numPr>
        <w:ind w:left="505" w:hanging="505"/>
        <w:jc w:val="both"/>
        <w:rPr>
          <w:rFonts w:ascii="Times New Roman" w:hAnsi="Times New Roman" w:cs="Times New Roman"/>
          <w:i w:val="0"/>
          <w:u w:val="none"/>
          <w:lang w:eastAsia="es-EC"/>
        </w:rPr>
      </w:pPr>
      <w:bookmarkStart w:id="234" w:name="_Toc9537847"/>
      <w:r w:rsidRPr="00686018">
        <w:rPr>
          <w:rFonts w:ascii="Times New Roman" w:hAnsi="Times New Roman" w:cs="Times New Roman"/>
          <w:i w:val="0"/>
          <w:u w:val="none"/>
          <w:lang w:eastAsia="es-EC"/>
        </w:rPr>
        <w:t>Rendimiento de metano diario</w:t>
      </w:r>
      <w:r w:rsidR="00AD3782" w:rsidRPr="00686018">
        <w:rPr>
          <w:rFonts w:ascii="Times New Roman" w:hAnsi="Times New Roman" w:cs="Times New Roman"/>
          <w:i w:val="0"/>
          <w:u w:val="none"/>
        </w:rPr>
        <w:t xml:space="preserve"> </w:t>
      </w:r>
      <w:r w:rsidR="00AD3782" w:rsidRPr="00686018">
        <w:rPr>
          <w:rFonts w:ascii="Times New Roman" w:hAnsi="Times New Roman" w:cs="Times New Roman"/>
          <w:i w:val="0"/>
          <w:u w:val="none"/>
          <w:lang w:eastAsia="es-EC"/>
        </w:rPr>
        <w:t>para razones diferentes de I:S y RE:TR</w:t>
      </w:r>
      <w:bookmarkEnd w:id="234"/>
    </w:p>
    <w:p w:rsidR="00B91502" w:rsidRPr="00686018" w:rsidRDefault="006E31EF" w:rsidP="00A31608">
      <w:pPr>
        <w:spacing w:before="360" w:after="360"/>
        <w:jc w:val="both"/>
        <w:rPr>
          <w:rFonts w:ascii="Times New Roman" w:hAnsi="Times New Roman" w:cs="Times New Roman"/>
          <w:sz w:val="24"/>
          <w:lang w:eastAsia="es-EC"/>
        </w:rPr>
      </w:pPr>
      <w:r>
        <w:rPr>
          <w:rFonts w:ascii="Times New Roman" w:hAnsi="Times New Roman" w:cs="Times New Roman"/>
          <w:sz w:val="24"/>
          <w:lang w:eastAsia="es-EC"/>
        </w:rPr>
        <w:t>En la figura 21</w:t>
      </w:r>
      <w:r w:rsidR="00E16CE3" w:rsidRPr="00686018">
        <w:rPr>
          <w:rFonts w:ascii="Times New Roman" w:hAnsi="Times New Roman" w:cs="Times New Roman"/>
          <w:sz w:val="24"/>
          <w:lang w:eastAsia="es-EC"/>
        </w:rPr>
        <w:t>, se muestra e</w:t>
      </w:r>
      <w:r w:rsidR="004F5813" w:rsidRPr="00686018">
        <w:rPr>
          <w:rFonts w:ascii="Times New Roman" w:hAnsi="Times New Roman" w:cs="Times New Roman"/>
          <w:sz w:val="24"/>
          <w:lang w:eastAsia="es-EC"/>
        </w:rPr>
        <w:t>l rendimiento diario</w:t>
      </w:r>
      <w:r w:rsidR="009616F1" w:rsidRPr="00686018">
        <w:rPr>
          <w:rFonts w:ascii="Times New Roman" w:hAnsi="Times New Roman" w:cs="Times New Roman"/>
          <w:sz w:val="24"/>
          <w:lang w:eastAsia="es-EC"/>
        </w:rPr>
        <w:t xml:space="preserve"> de metano en</w:t>
      </w:r>
      <w:r w:rsidR="004F5813" w:rsidRPr="00686018">
        <w:rPr>
          <w:rFonts w:ascii="Times New Roman" w:hAnsi="Times New Roman" w:cs="Times New Roman"/>
          <w:sz w:val="24"/>
          <w:lang w:eastAsia="es-EC"/>
        </w:rPr>
        <w:t xml:space="preserve"> mono</w:t>
      </w:r>
      <w:r w:rsidR="00B91502" w:rsidRPr="00686018">
        <w:rPr>
          <w:rFonts w:ascii="Times New Roman" w:hAnsi="Times New Roman" w:cs="Times New Roman"/>
          <w:sz w:val="24"/>
          <w:lang w:eastAsia="es-EC"/>
        </w:rPr>
        <w:t>digestión y codigestión para razones diferentes de I:S y RE:TR.</w:t>
      </w:r>
      <w:r w:rsidR="00985CE4" w:rsidRPr="00686018">
        <w:rPr>
          <w:rFonts w:ascii="Times New Roman" w:hAnsi="Times New Roman" w:cs="Times New Roman"/>
          <w:sz w:val="24"/>
          <w:lang w:eastAsia="es-EC"/>
        </w:rPr>
        <w:t xml:space="preserve"> </w:t>
      </w:r>
    </w:p>
    <w:p w:rsidR="005008D7" w:rsidRPr="00686018" w:rsidRDefault="005E53C5"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La </w:t>
      </w:r>
      <w:r w:rsidR="006E31EF">
        <w:rPr>
          <w:rFonts w:ascii="Times New Roman" w:hAnsi="Times New Roman" w:cs="Times New Roman"/>
          <w:b/>
          <w:sz w:val="24"/>
          <w:lang w:eastAsia="es-EC"/>
        </w:rPr>
        <w:t>figura 21</w:t>
      </w:r>
      <w:r w:rsidR="005008D7" w:rsidRPr="00686018">
        <w:rPr>
          <w:rFonts w:ascii="Times New Roman" w:hAnsi="Times New Roman" w:cs="Times New Roman"/>
          <w:b/>
          <w:sz w:val="24"/>
          <w:lang w:eastAsia="es-EC"/>
        </w:rPr>
        <w:t>A</w:t>
      </w:r>
      <w:r w:rsidR="005008D7" w:rsidRPr="00686018">
        <w:rPr>
          <w:rFonts w:ascii="Times New Roman" w:hAnsi="Times New Roman" w:cs="Times New Roman"/>
          <w:sz w:val="24"/>
          <w:lang w:eastAsia="es-EC"/>
        </w:rPr>
        <w:t xml:space="preserve"> muestra que los picos más altos pertenecen a la </w:t>
      </w:r>
      <w:r w:rsidR="004F5813" w:rsidRPr="00686018">
        <w:rPr>
          <w:rFonts w:ascii="Times New Roman" w:hAnsi="Times New Roman" w:cs="Times New Roman"/>
          <w:sz w:val="24"/>
          <w:lang w:eastAsia="es-EC"/>
        </w:rPr>
        <w:t xml:space="preserve">monodigestión </w:t>
      </w:r>
      <w:r w:rsidR="005008D7" w:rsidRPr="00686018">
        <w:rPr>
          <w:rFonts w:ascii="Times New Roman" w:hAnsi="Times New Roman" w:cs="Times New Roman"/>
          <w:sz w:val="24"/>
          <w:lang w:eastAsia="es-EC"/>
        </w:rPr>
        <w:t>de RE (34.548</w:t>
      </w:r>
      <w:r w:rsidR="00DD14D0">
        <w:rPr>
          <w:rFonts w:ascii="Times New Roman" w:hAnsi="Times New Roman" w:cs="Times New Roman"/>
          <w:sz w:val="24"/>
          <w:lang w:eastAsia="es-EC"/>
        </w:rPr>
        <w:t>mL</w:t>
      </w:r>
      <w:r w:rsidR="005008D7" w:rsidRPr="00686018">
        <w:rPr>
          <w:rFonts w:ascii="Times New Roman" w:hAnsi="Times New Roman" w:cs="Times New Roman"/>
          <w:sz w:val="24"/>
          <w:lang w:eastAsia="es-EC"/>
        </w:rPr>
        <w:t>/g-SV) y TR (30.338</w:t>
      </w:r>
      <w:r w:rsidR="00DD14D0">
        <w:rPr>
          <w:rFonts w:ascii="Times New Roman" w:hAnsi="Times New Roman" w:cs="Times New Roman"/>
          <w:sz w:val="24"/>
          <w:lang w:eastAsia="es-EC"/>
        </w:rPr>
        <w:t>mL</w:t>
      </w:r>
      <w:r w:rsidR="005008D7" w:rsidRPr="00686018">
        <w:rPr>
          <w:rFonts w:ascii="Times New Roman" w:hAnsi="Times New Roman" w:cs="Times New Roman"/>
          <w:sz w:val="24"/>
          <w:lang w:eastAsia="es-EC"/>
        </w:rPr>
        <w:t>/g-SV) al 2do y 5to día de digestión. Picos bajos fueron observados en codigestión 29.066</w:t>
      </w:r>
      <w:r w:rsidR="00DD14D0">
        <w:rPr>
          <w:rFonts w:ascii="Times New Roman" w:hAnsi="Times New Roman" w:cs="Times New Roman"/>
          <w:sz w:val="24"/>
          <w:lang w:eastAsia="es-EC"/>
        </w:rPr>
        <w:t>mL</w:t>
      </w:r>
      <w:r w:rsidR="005008D7" w:rsidRPr="00686018">
        <w:rPr>
          <w:rFonts w:ascii="Times New Roman" w:hAnsi="Times New Roman" w:cs="Times New Roman"/>
          <w:sz w:val="24"/>
          <w:lang w:eastAsia="es-EC"/>
        </w:rPr>
        <w:t>/g-SV (RE:TR-1:3), 26.036</w:t>
      </w:r>
      <w:r w:rsidR="00DD14D0">
        <w:rPr>
          <w:rFonts w:ascii="Times New Roman" w:hAnsi="Times New Roman" w:cs="Times New Roman"/>
          <w:sz w:val="24"/>
          <w:lang w:eastAsia="es-EC"/>
        </w:rPr>
        <w:t>mL</w:t>
      </w:r>
      <w:r w:rsidR="005008D7" w:rsidRPr="00686018">
        <w:rPr>
          <w:rFonts w:ascii="Times New Roman" w:hAnsi="Times New Roman" w:cs="Times New Roman"/>
          <w:sz w:val="24"/>
          <w:lang w:eastAsia="es-EC"/>
        </w:rPr>
        <w:t>/g-SV (RE:TR-2:2) y 25.757</w:t>
      </w:r>
      <w:r w:rsidR="00DD14D0">
        <w:rPr>
          <w:rFonts w:ascii="Times New Roman" w:hAnsi="Times New Roman" w:cs="Times New Roman"/>
          <w:sz w:val="24"/>
          <w:lang w:eastAsia="es-EC"/>
        </w:rPr>
        <w:t>mL</w:t>
      </w:r>
      <w:r w:rsidR="005008D7" w:rsidRPr="00686018">
        <w:rPr>
          <w:rFonts w:ascii="Times New Roman" w:hAnsi="Times New Roman" w:cs="Times New Roman"/>
          <w:sz w:val="24"/>
          <w:lang w:eastAsia="es-EC"/>
        </w:rPr>
        <w:t>/g-SV (RE:TR-3:1) al 5to, 6to</w:t>
      </w:r>
      <w:r w:rsidR="00A77D80" w:rsidRPr="00686018">
        <w:rPr>
          <w:rFonts w:ascii="Times New Roman" w:hAnsi="Times New Roman" w:cs="Times New Roman"/>
          <w:sz w:val="24"/>
          <w:lang w:eastAsia="es-EC"/>
        </w:rPr>
        <w:t xml:space="preserve"> y 2do día respectivamente. L</w:t>
      </w:r>
      <w:r w:rsidR="005008D7" w:rsidRPr="00686018">
        <w:rPr>
          <w:rFonts w:ascii="Times New Roman" w:hAnsi="Times New Roman" w:cs="Times New Roman"/>
          <w:sz w:val="24"/>
          <w:lang w:eastAsia="es-EC"/>
        </w:rPr>
        <w:t xml:space="preserve">o anterior </w:t>
      </w:r>
      <w:r w:rsidR="00A77D80" w:rsidRPr="00686018">
        <w:rPr>
          <w:rFonts w:ascii="Times New Roman" w:hAnsi="Times New Roman" w:cs="Times New Roman"/>
          <w:sz w:val="24"/>
          <w:lang w:eastAsia="es-EC"/>
        </w:rPr>
        <w:t>hace</w:t>
      </w:r>
      <w:r w:rsidR="005008D7" w:rsidRPr="00686018">
        <w:rPr>
          <w:rFonts w:ascii="Times New Roman" w:hAnsi="Times New Roman" w:cs="Times New Roman"/>
          <w:sz w:val="24"/>
          <w:lang w:eastAsia="es-EC"/>
        </w:rPr>
        <w:t xml:space="preserve"> notar que, un porcentaje de inoculo de 66.67% favorece la rápida generación de metano en </w:t>
      </w:r>
      <w:r w:rsidR="004F5813" w:rsidRPr="00686018">
        <w:rPr>
          <w:rFonts w:ascii="Times New Roman" w:hAnsi="Times New Roman" w:cs="Times New Roman"/>
          <w:sz w:val="24"/>
          <w:lang w:eastAsia="es-EC"/>
        </w:rPr>
        <w:t xml:space="preserve">monodigestión </w:t>
      </w:r>
      <w:r w:rsidR="005008D7" w:rsidRPr="00686018">
        <w:rPr>
          <w:rFonts w:ascii="Times New Roman" w:hAnsi="Times New Roman" w:cs="Times New Roman"/>
          <w:sz w:val="24"/>
          <w:lang w:eastAsia="es-EC"/>
        </w:rPr>
        <w:t>y codigestión en un rango de 2 a 6 días de digestión.</w:t>
      </w:r>
    </w:p>
    <w:p w:rsidR="005008D7" w:rsidRPr="00686018" w:rsidRDefault="00860D8D"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lastRenderedPageBreak/>
        <w:t xml:space="preserve">Como indica la </w:t>
      </w:r>
      <w:r w:rsidR="006E31EF">
        <w:rPr>
          <w:rFonts w:ascii="Times New Roman" w:hAnsi="Times New Roman" w:cs="Times New Roman"/>
          <w:b/>
          <w:sz w:val="24"/>
          <w:lang w:eastAsia="es-EC"/>
        </w:rPr>
        <w:t>figura 21</w:t>
      </w:r>
      <w:r w:rsidR="005008D7" w:rsidRPr="00686018">
        <w:rPr>
          <w:rFonts w:ascii="Times New Roman" w:hAnsi="Times New Roman" w:cs="Times New Roman"/>
          <w:b/>
          <w:sz w:val="24"/>
          <w:lang w:eastAsia="es-EC"/>
        </w:rPr>
        <w:t>B</w:t>
      </w:r>
      <w:r w:rsidR="005008D7" w:rsidRPr="00686018">
        <w:rPr>
          <w:rFonts w:ascii="Times New Roman" w:hAnsi="Times New Roman" w:cs="Times New Roman"/>
          <w:sz w:val="24"/>
          <w:lang w:eastAsia="es-EC"/>
        </w:rPr>
        <w:t>, los picos más altos fueron identificados en codigestión (27.265</w:t>
      </w:r>
      <w:r w:rsidR="00DD14D0">
        <w:rPr>
          <w:rFonts w:ascii="Times New Roman" w:hAnsi="Times New Roman" w:cs="Times New Roman"/>
          <w:sz w:val="24"/>
          <w:lang w:eastAsia="es-EC"/>
        </w:rPr>
        <w:t>mL</w:t>
      </w:r>
      <w:r w:rsidR="005008D7" w:rsidRPr="00686018">
        <w:rPr>
          <w:rFonts w:ascii="Times New Roman" w:hAnsi="Times New Roman" w:cs="Times New Roman"/>
          <w:sz w:val="24"/>
          <w:lang w:eastAsia="es-EC"/>
        </w:rPr>
        <w:t xml:space="preserve">/g-SV - RE:TR-1:3) y </w:t>
      </w:r>
      <w:r w:rsidR="004F5813" w:rsidRPr="00686018">
        <w:rPr>
          <w:rFonts w:ascii="Times New Roman" w:hAnsi="Times New Roman" w:cs="Times New Roman"/>
          <w:sz w:val="24"/>
          <w:lang w:eastAsia="es-EC"/>
        </w:rPr>
        <w:t xml:space="preserve">monodigestión </w:t>
      </w:r>
      <w:r w:rsidR="005008D7" w:rsidRPr="00686018">
        <w:rPr>
          <w:rFonts w:ascii="Times New Roman" w:hAnsi="Times New Roman" w:cs="Times New Roman"/>
          <w:sz w:val="24"/>
          <w:lang w:eastAsia="es-EC"/>
        </w:rPr>
        <w:t>(26.170</w:t>
      </w:r>
      <w:r w:rsidR="00DD14D0">
        <w:rPr>
          <w:rFonts w:ascii="Times New Roman" w:hAnsi="Times New Roman" w:cs="Times New Roman"/>
          <w:sz w:val="24"/>
          <w:lang w:eastAsia="es-EC"/>
        </w:rPr>
        <w:t>mL</w:t>
      </w:r>
      <w:r w:rsidR="005008D7" w:rsidRPr="00686018">
        <w:rPr>
          <w:rFonts w:ascii="Times New Roman" w:hAnsi="Times New Roman" w:cs="Times New Roman"/>
          <w:sz w:val="24"/>
          <w:lang w:eastAsia="es-EC"/>
        </w:rPr>
        <w:t>/g-SV - RE:TR-4:0) al 4to y 3er día respectivamente. Los tratamientos restantes presentaron picos inferiores</w:t>
      </w:r>
      <w:r w:rsidR="009616F1" w:rsidRPr="00686018">
        <w:rPr>
          <w:rFonts w:ascii="Times New Roman" w:hAnsi="Times New Roman" w:cs="Times New Roman"/>
          <w:sz w:val="24"/>
          <w:lang w:eastAsia="es-EC"/>
        </w:rPr>
        <w:t>: 24.499</w:t>
      </w:r>
      <w:r w:rsidR="00DD14D0">
        <w:rPr>
          <w:rFonts w:ascii="Times New Roman" w:hAnsi="Times New Roman" w:cs="Times New Roman"/>
          <w:sz w:val="24"/>
          <w:lang w:eastAsia="es-EC"/>
        </w:rPr>
        <w:t>mL</w:t>
      </w:r>
      <w:r w:rsidR="009616F1" w:rsidRPr="00686018">
        <w:rPr>
          <w:rFonts w:ascii="Times New Roman" w:hAnsi="Times New Roman" w:cs="Times New Roman"/>
          <w:sz w:val="24"/>
          <w:lang w:eastAsia="es-EC"/>
        </w:rPr>
        <w:t>/g-SV (</w:t>
      </w:r>
      <w:r w:rsidR="00834412" w:rsidRPr="00686018">
        <w:rPr>
          <w:rFonts w:ascii="Times New Roman" w:hAnsi="Times New Roman" w:cs="Times New Roman"/>
          <w:sz w:val="24"/>
          <w:lang w:eastAsia="es-EC"/>
        </w:rPr>
        <w:t>RE:TR-3:1), 20.526</w:t>
      </w:r>
      <w:r w:rsidR="00DD14D0">
        <w:rPr>
          <w:rFonts w:ascii="Times New Roman" w:hAnsi="Times New Roman" w:cs="Times New Roman"/>
          <w:sz w:val="24"/>
          <w:lang w:eastAsia="es-EC"/>
        </w:rPr>
        <w:t>mL</w:t>
      </w:r>
      <w:r w:rsidR="00834412" w:rsidRPr="00686018">
        <w:rPr>
          <w:rFonts w:ascii="Times New Roman" w:hAnsi="Times New Roman" w:cs="Times New Roman"/>
          <w:sz w:val="24"/>
          <w:lang w:eastAsia="es-EC"/>
        </w:rPr>
        <w:t>/g-SV - RE:TR-0:4</w:t>
      </w:r>
      <w:r w:rsidR="005008D7" w:rsidRPr="00686018">
        <w:rPr>
          <w:rFonts w:ascii="Times New Roman" w:hAnsi="Times New Roman" w:cs="Times New Roman"/>
          <w:sz w:val="24"/>
          <w:lang w:eastAsia="es-EC"/>
        </w:rPr>
        <w:t>) y 20</w:t>
      </w:r>
      <w:r w:rsidR="00834412" w:rsidRPr="00686018">
        <w:rPr>
          <w:rFonts w:ascii="Times New Roman" w:hAnsi="Times New Roman" w:cs="Times New Roman"/>
          <w:sz w:val="24"/>
          <w:lang w:eastAsia="es-EC"/>
        </w:rPr>
        <w:t>.314</w:t>
      </w:r>
      <w:r w:rsidR="00DD14D0">
        <w:rPr>
          <w:rFonts w:ascii="Times New Roman" w:hAnsi="Times New Roman" w:cs="Times New Roman"/>
          <w:sz w:val="24"/>
          <w:lang w:eastAsia="es-EC"/>
        </w:rPr>
        <w:t>mL</w:t>
      </w:r>
      <w:r w:rsidR="00834412" w:rsidRPr="00686018">
        <w:rPr>
          <w:rFonts w:ascii="Times New Roman" w:hAnsi="Times New Roman" w:cs="Times New Roman"/>
          <w:sz w:val="24"/>
          <w:lang w:eastAsia="es-EC"/>
        </w:rPr>
        <w:t>/g-SV - RE:TR-2:2</w:t>
      </w:r>
      <w:r w:rsidR="005008D7" w:rsidRPr="00686018">
        <w:rPr>
          <w:rFonts w:ascii="Times New Roman" w:hAnsi="Times New Roman" w:cs="Times New Roman"/>
          <w:sz w:val="24"/>
          <w:lang w:eastAsia="es-EC"/>
        </w:rPr>
        <w:t xml:space="preserve">) al 3er y 2do día de digestión. Al reducir el volumen de inoculo en un 50% se ve afectado el valor del pico de metano generado tanto en </w:t>
      </w:r>
      <w:r w:rsidR="004F5813" w:rsidRPr="00686018">
        <w:rPr>
          <w:rFonts w:ascii="Times New Roman" w:hAnsi="Times New Roman" w:cs="Times New Roman"/>
          <w:sz w:val="24"/>
          <w:lang w:eastAsia="es-EC"/>
        </w:rPr>
        <w:t xml:space="preserve">monodigestión </w:t>
      </w:r>
      <w:r w:rsidR="005008D7" w:rsidRPr="00686018">
        <w:rPr>
          <w:rFonts w:ascii="Times New Roman" w:hAnsi="Times New Roman" w:cs="Times New Roman"/>
          <w:sz w:val="24"/>
          <w:lang w:eastAsia="es-EC"/>
        </w:rPr>
        <w:t>como en codigestión, el rango de días necesario para llegar a los picos, no obstante, es más bajo (de 2-4 días).</w:t>
      </w:r>
    </w:p>
    <w:p w:rsidR="00FE7F69" w:rsidRPr="00686018" w:rsidRDefault="00FE7F69" w:rsidP="00B46DDC">
      <w:pPr>
        <w:jc w:val="center"/>
        <w:rPr>
          <w:rFonts w:ascii="Times New Roman" w:hAnsi="Times New Roman" w:cs="Times New Roman"/>
          <w:lang w:eastAsia="es-EC"/>
        </w:rPr>
      </w:pPr>
      <w:r w:rsidRPr="00686018">
        <w:rPr>
          <w:rFonts w:ascii="Times New Roman" w:hAnsi="Times New Roman" w:cs="Times New Roman"/>
          <w:noProof/>
          <w:lang w:eastAsia="es-EC"/>
        </w:rPr>
        <w:drawing>
          <wp:inline distT="0" distB="0" distL="0" distR="0" wp14:anchorId="34273FFF" wp14:editId="60CEE922">
            <wp:extent cx="4869711" cy="4104005"/>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81442" cy="4113892"/>
                    </a:xfrm>
                    <a:prstGeom prst="rect">
                      <a:avLst/>
                    </a:prstGeom>
                  </pic:spPr>
                </pic:pic>
              </a:graphicData>
            </a:graphic>
          </wp:inline>
        </w:drawing>
      </w:r>
    </w:p>
    <w:p w:rsidR="005320BB" w:rsidRPr="00686018" w:rsidRDefault="00B639AA" w:rsidP="00B46DDC">
      <w:pPr>
        <w:pStyle w:val="Descripcin"/>
        <w:jc w:val="center"/>
        <w:rPr>
          <w:rFonts w:ascii="Times New Roman" w:hAnsi="Times New Roman" w:cs="Times New Roman"/>
          <w:i w:val="0"/>
          <w:color w:val="000000" w:themeColor="text1"/>
          <w:sz w:val="24"/>
          <w:lang w:eastAsia="es-EC"/>
        </w:rPr>
      </w:pPr>
      <w:bookmarkStart w:id="235" w:name="_Toc9537889"/>
      <w:r>
        <w:rPr>
          <w:rFonts w:ascii="Times New Roman" w:hAnsi="Times New Roman" w:cs="Times New Roman"/>
          <w:b/>
          <w:i w:val="0"/>
          <w:color w:val="000000" w:themeColor="text1"/>
        </w:rPr>
        <w:t>Figura</w:t>
      </w:r>
      <w:r w:rsidR="005320BB" w:rsidRPr="00686018">
        <w:rPr>
          <w:rFonts w:ascii="Times New Roman" w:hAnsi="Times New Roman" w:cs="Times New Roman"/>
          <w:b/>
          <w:i w:val="0"/>
          <w:color w:val="000000" w:themeColor="text1"/>
        </w:rPr>
        <w:t xml:space="preserve"> </w:t>
      </w:r>
      <w:r w:rsidR="005320BB" w:rsidRPr="00686018">
        <w:rPr>
          <w:rFonts w:ascii="Times New Roman" w:hAnsi="Times New Roman" w:cs="Times New Roman"/>
          <w:b/>
          <w:i w:val="0"/>
          <w:color w:val="000000" w:themeColor="text1"/>
        </w:rPr>
        <w:fldChar w:fldCharType="begin"/>
      </w:r>
      <w:r w:rsidR="005320BB" w:rsidRPr="00686018">
        <w:rPr>
          <w:rFonts w:ascii="Times New Roman" w:hAnsi="Times New Roman" w:cs="Times New Roman"/>
          <w:b/>
          <w:i w:val="0"/>
          <w:color w:val="000000" w:themeColor="text1"/>
        </w:rPr>
        <w:instrText xml:space="preserve"> SEQ Figure \* ARABIC </w:instrText>
      </w:r>
      <w:r w:rsidR="005320BB" w:rsidRPr="00686018">
        <w:rPr>
          <w:rFonts w:ascii="Times New Roman" w:hAnsi="Times New Roman" w:cs="Times New Roman"/>
          <w:b/>
          <w:i w:val="0"/>
          <w:color w:val="000000" w:themeColor="text1"/>
        </w:rPr>
        <w:fldChar w:fldCharType="separate"/>
      </w:r>
      <w:r w:rsidR="006E31EF">
        <w:rPr>
          <w:rFonts w:ascii="Times New Roman" w:hAnsi="Times New Roman" w:cs="Times New Roman"/>
          <w:b/>
          <w:i w:val="0"/>
          <w:noProof/>
          <w:color w:val="000000" w:themeColor="text1"/>
        </w:rPr>
        <w:t>21</w:t>
      </w:r>
      <w:r w:rsidR="005320BB" w:rsidRPr="00686018">
        <w:rPr>
          <w:rFonts w:ascii="Times New Roman" w:hAnsi="Times New Roman" w:cs="Times New Roman"/>
          <w:b/>
          <w:i w:val="0"/>
          <w:color w:val="000000" w:themeColor="text1"/>
        </w:rPr>
        <w:fldChar w:fldCharType="end"/>
      </w:r>
      <w:r w:rsidR="005320BB" w:rsidRPr="00686018">
        <w:rPr>
          <w:rFonts w:ascii="Times New Roman" w:hAnsi="Times New Roman" w:cs="Times New Roman"/>
          <w:i w:val="0"/>
          <w:color w:val="000000" w:themeColor="text1"/>
        </w:rPr>
        <w:t xml:space="preserve">. Rendimiento </w:t>
      </w:r>
      <w:r w:rsidR="00A77D80" w:rsidRPr="00686018">
        <w:rPr>
          <w:rFonts w:ascii="Times New Roman" w:hAnsi="Times New Roman" w:cs="Times New Roman"/>
          <w:i w:val="0"/>
          <w:color w:val="000000" w:themeColor="text1"/>
        </w:rPr>
        <w:t xml:space="preserve">de metano </w:t>
      </w:r>
      <w:r w:rsidR="005320BB" w:rsidRPr="00686018">
        <w:rPr>
          <w:rFonts w:ascii="Times New Roman" w:hAnsi="Times New Roman" w:cs="Times New Roman"/>
          <w:i w:val="0"/>
          <w:color w:val="000000" w:themeColor="text1"/>
        </w:rPr>
        <w:t xml:space="preserve">diario </w:t>
      </w:r>
      <w:r w:rsidR="00A77D80" w:rsidRPr="00686018">
        <w:rPr>
          <w:rFonts w:ascii="Times New Roman" w:hAnsi="Times New Roman" w:cs="Times New Roman"/>
          <w:i w:val="0"/>
          <w:color w:val="000000" w:themeColor="text1"/>
        </w:rPr>
        <w:t>(RMD) en</w:t>
      </w:r>
      <w:r w:rsidR="005320BB" w:rsidRPr="00686018">
        <w:rPr>
          <w:rFonts w:ascii="Times New Roman" w:hAnsi="Times New Roman" w:cs="Times New Roman"/>
          <w:i w:val="0"/>
          <w:color w:val="000000" w:themeColor="text1"/>
        </w:rPr>
        <w:t xml:space="preserve"> </w:t>
      </w:r>
      <w:r w:rsidR="004F5813" w:rsidRPr="00686018">
        <w:rPr>
          <w:rFonts w:ascii="Times New Roman" w:hAnsi="Times New Roman" w:cs="Times New Roman"/>
          <w:i w:val="0"/>
          <w:color w:val="000000" w:themeColor="text1"/>
        </w:rPr>
        <w:t xml:space="preserve">monodigestión </w:t>
      </w:r>
      <w:r w:rsidR="005320BB" w:rsidRPr="00686018">
        <w:rPr>
          <w:rFonts w:ascii="Times New Roman" w:hAnsi="Times New Roman" w:cs="Times New Roman"/>
          <w:i w:val="0"/>
          <w:color w:val="000000" w:themeColor="text1"/>
        </w:rPr>
        <w:t>y codigestión para razo</w:t>
      </w:r>
      <w:r w:rsidR="00A77D80" w:rsidRPr="00686018">
        <w:rPr>
          <w:rFonts w:ascii="Times New Roman" w:hAnsi="Times New Roman" w:cs="Times New Roman"/>
          <w:i w:val="0"/>
          <w:color w:val="000000" w:themeColor="text1"/>
        </w:rPr>
        <w:t>nes diferentes de I:S y RE:TR.</w:t>
      </w:r>
      <w:bookmarkEnd w:id="235"/>
    </w:p>
    <w:p w:rsidR="00B91502" w:rsidRPr="00686018" w:rsidRDefault="00B91502"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A77D80" w:rsidRPr="00686018" w:rsidRDefault="00A77D80"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Cuando el porcentaje de inóculo </w:t>
      </w:r>
      <w:r w:rsidR="009616F1" w:rsidRPr="00686018">
        <w:rPr>
          <w:rFonts w:ascii="Times New Roman" w:hAnsi="Times New Roman" w:cs="Times New Roman"/>
          <w:sz w:val="24"/>
          <w:lang w:eastAsia="es-EC"/>
        </w:rPr>
        <w:t>usado</w:t>
      </w:r>
      <w:r w:rsidRPr="00686018">
        <w:rPr>
          <w:rFonts w:ascii="Times New Roman" w:hAnsi="Times New Roman" w:cs="Times New Roman"/>
          <w:sz w:val="24"/>
          <w:lang w:eastAsia="es-EC"/>
        </w:rPr>
        <w:t xml:space="preserve"> se reduce a un 33.33%</w:t>
      </w:r>
      <w:r w:rsidR="00EB2E89" w:rsidRPr="00686018">
        <w:rPr>
          <w:rFonts w:ascii="Times New Roman" w:hAnsi="Times New Roman" w:cs="Times New Roman"/>
          <w:sz w:val="24"/>
          <w:lang w:eastAsia="es-EC"/>
        </w:rPr>
        <w:t xml:space="preserve"> se ve</w:t>
      </w:r>
      <w:r w:rsidRPr="00686018">
        <w:rPr>
          <w:rFonts w:ascii="Times New Roman" w:hAnsi="Times New Roman" w:cs="Times New Roman"/>
          <w:sz w:val="24"/>
          <w:lang w:eastAsia="es-EC"/>
        </w:rPr>
        <w:t xml:space="preserve"> </w:t>
      </w:r>
      <w:r w:rsidR="00EB2E89" w:rsidRPr="00686018">
        <w:rPr>
          <w:rFonts w:ascii="Times New Roman" w:hAnsi="Times New Roman" w:cs="Times New Roman"/>
          <w:sz w:val="24"/>
          <w:lang w:eastAsia="es-EC"/>
        </w:rPr>
        <w:t xml:space="preserve">afectada </w:t>
      </w:r>
      <w:r w:rsidRPr="00686018">
        <w:rPr>
          <w:rFonts w:ascii="Times New Roman" w:hAnsi="Times New Roman" w:cs="Times New Roman"/>
          <w:sz w:val="24"/>
          <w:lang w:eastAsia="es-EC"/>
        </w:rPr>
        <w:t>los picos de generación de met</w:t>
      </w:r>
      <w:r w:rsidR="00860D8D" w:rsidRPr="00686018">
        <w:rPr>
          <w:rFonts w:ascii="Times New Roman" w:hAnsi="Times New Roman" w:cs="Times New Roman"/>
          <w:sz w:val="24"/>
          <w:lang w:eastAsia="es-EC"/>
        </w:rPr>
        <w:t xml:space="preserve">ano </w:t>
      </w:r>
      <w:r w:rsidR="006E31EF">
        <w:rPr>
          <w:rFonts w:ascii="Times New Roman" w:hAnsi="Times New Roman" w:cs="Times New Roman"/>
          <w:b/>
          <w:sz w:val="24"/>
          <w:lang w:eastAsia="es-EC"/>
        </w:rPr>
        <w:t>(figura 21</w:t>
      </w:r>
      <w:r w:rsidRPr="00686018">
        <w:rPr>
          <w:rFonts w:ascii="Times New Roman" w:hAnsi="Times New Roman" w:cs="Times New Roman"/>
          <w:b/>
          <w:sz w:val="24"/>
          <w:lang w:eastAsia="es-EC"/>
        </w:rPr>
        <w:t>C)</w:t>
      </w:r>
      <w:r w:rsidRPr="00686018">
        <w:rPr>
          <w:rFonts w:ascii="Times New Roman" w:hAnsi="Times New Roman" w:cs="Times New Roman"/>
          <w:sz w:val="24"/>
          <w:lang w:eastAsia="es-EC"/>
        </w:rPr>
        <w:t>. Sin embargo, la producción de metano inicia rápidamente luego de la inoculación.  El pico más alto fue de 22.733</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/g-SV - RE:TR-4:0) al 3er día de digestión; los tratamientos restantes tuvieron picos de 20.611</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/g-SV - RE:TR-3:1), 20.547</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/g-SV - RE:TR-2:2), 19.499</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/g-SV - RE:TR-1:3) y 12.165</w:t>
      </w:r>
      <w:r w:rsidR="00DD14D0">
        <w:rPr>
          <w:rFonts w:ascii="Times New Roman" w:hAnsi="Times New Roman" w:cs="Times New Roman"/>
          <w:sz w:val="24"/>
          <w:lang w:eastAsia="es-EC"/>
        </w:rPr>
        <w:t>mL</w:t>
      </w:r>
      <w:r w:rsidRPr="00686018">
        <w:rPr>
          <w:rFonts w:ascii="Times New Roman" w:hAnsi="Times New Roman" w:cs="Times New Roman"/>
          <w:sz w:val="24"/>
          <w:lang w:eastAsia="es-EC"/>
        </w:rPr>
        <w:t xml:space="preserve">/g-SV - RE:TR-0:4) en un rango de 2 a 3 días. Claramente de puede notar que, al incrementar la fracción de RE, se incrementa la generación de metano diaria, caso que no ocurre en los experimentos anteriores, donde se </w:t>
      </w:r>
      <w:r w:rsidRPr="00686018">
        <w:rPr>
          <w:rFonts w:ascii="Times New Roman" w:hAnsi="Times New Roman" w:cs="Times New Roman"/>
          <w:sz w:val="24"/>
          <w:lang w:eastAsia="es-EC"/>
        </w:rPr>
        <w:lastRenderedPageBreak/>
        <w:t>aprecia un periodo largo de adaptación al medio y al sustrato.</w:t>
      </w:r>
      <w:r w:rsidR="00C35235" w:rsidRPr="00686018">
        <w:rPr>
          <w:rFonts w:ascii="Times New Roman" w:hAnsi="Times New Roman" w:cs="Times New Roman"/>
          <w:sz w:val="24"/>
          <w:lang w:eastAsia="es-EC"/>
        </w:rPr>
        <w:t xml:space="preserve"> El rendimiento diario de metano para los 40 días de digestión se detalla en el </w:t>
      </w:r>
      <w:r w:rsidR="00C35235" w:rsidRPr="00686018">
        <w:rPr>
          <w:rFonts w:ascii="Times New Roman" w:hAnsi="Times New Roman" w:cs="Times New Roman"/>
          <w:b/>
          <w:sz w:val="24"/>
          <w:lang w:eastAsia="es-EC"/>
        </w:rPr>
        <w:t>ANEXO 5</w:t>
      </w:r>
    </w:p>
    <w:p w:rsidR="00A77D80" w:rsidRPr="00686018" w:rsidRDefault="00A77D80" w:rsidP="00A31608">
      <w:pPr>
        <w:pStyle w:val="Ttulo4"/>
        <w:numPr>
          <w:ilvl w:val="2"/>
          <w:numId w:val="4"/>
        </w:numPr>
        <w:ind w:left="505" w:hanging="505"/>
        <w:jc w:val="both"/>
        <w:rPr>
          <w:rFonts w:ascii="Times New Roman" w:hAnsi="Times New Roman" w:cs="Times New Roman"/>
          <w:i w:val="0"/>
          <w:u w:val="none"/>
          <w:lang w:eastAsia="es-EC"/>
        </w:rPr>
      </w:pPr>
      <w:bookmarkStart w:id="236" w:name="_Toc9537848"/>
      <w:r w:rsidRPr="00686018">
        <w:rPr>
          <w:rFonts w:ascii="Times New Roman" w:hAnsi="Times New Roman" w:cs="Times New Roman"/>
          <w:i w:val="0"/>
          <w:u w:val="none"/>
          <w:lang w:eastAsia="es-EC"/>
        </w:rPr>
        <w:t>Rendimiento de metano acumulado</w:t>
      </w:r>
      <w:r w:rsidRPr="00686018">
        <w:rPr>
          <w:rFonts w:ascii="Times New Roman" w:hAnsi="Times New Roman" w:cs="Times New Roman"/>
          <w:i w:val="0"/>
          <w:u w:val="none"/>
        </w:rPr>
        <w:t xml:space="preserve"> </w:t>
      </w:r>
      <w:r w:rsidRPr="00686018">
        <w:rPr>
          <w:rFonts w:ascii="Times New Roman" w:hAnsi="Times New Roman" w:cs="Times New Roman"/>
          <w:i w:val="0"/>
          <w:u w:val="none"/>
          <w:lang w:eastAsia="es-EC"/>
        </w:rPr>
        <w:t>para razones diferentes de I:S y RE:TR</w:t>
      </w:r>
      <w:bookmarkEnd w:id="236"/>
    </w:p>
    <w:p w:rsidR="00702C6D" w:rsidRPr="00686018" w:rsidRDefault="00702C6D"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El rendimiento de metano acumulado</w:t>
      </w:r>
      <w:r w:rsidR="007C6F3C" w:rsidRPr="00686018">
        <w:rPr>
          <w:rFonts w:ascii="Times New Roman" w:hAnsi="Times New Roman" w:cs="Times New Roman"/>
          <w:sz w:val="24"/>
          <w:lang w:eastAsia="es-EC"/>
        </w:rPr>
        <w:t xml:space="preserve"> (RMA</w:t>
      </w:r>
      <w:r w:rsidR="00CC3CB7" w:rsidRPr="00686018">
        <w:rPr>
          <w:rFonts w:ascii="Times New Roman" w:hAnsi="Times New Roman" w:cs="Times New Roman"/>
          <w:sz w:val="24"/>
          <w:lang w:eastAsia="es-EC"/>
        </w:rPr>
        <w:t xml:space="preserve">, </w:t>
      </w:r>
      <w:r w:rsidR="00C35235" w:rsidRPr="00686018">
        <w:rPr>
          <w:rFonts w:ascii="Times New Roman" w:hAnsi="Times New Roman" w:cs="Times New Roman"/>
          <w:b/>
          <w:sz w:val="24"/>
          <w:lang w:eastAsia="es-EC"/>
        </w:rPr>
        <w:t>ANEXO 6</w:t>
      </w:r>
      <w:r w:rsidR="007C6F3C" w:rsidRPr="00686018">
        <w:rPr>
          <w:rFonts w:ascii="Times New Roman" w:hAnsi="Times New Roman" w:cs="Times New Roman"/>
          <w:sz w:val="24"/>
          <w:lang w:eastAsia="es-EC"/>
        </w:rPr>
        <w:t>)</w:t>
      </w:r>
      <w:r w:rsidR="00CC3CB7" w:rsidRPr="00686018">
        <w:rPr>
          <w:rFonts w:ascii="Times New Roman" w:hAnsi="Times New Roman" w:cs="Times New Roman"/>
          <w:sz w:val="24"/>
          <w:lang w:eastAsia="es-EC"/>
        </w:rPr>
        <w:t xml:space="preserve"> </w:t>
      </w:r>
      <w:r w:rsidRPr="00686018">
        <w:rPr>
          <w:rFonts w:ascii="Times New Roman" w:hAnsi="Times New Roman" w:cs="Times New Roman"/>
          <w:sz w:val="24"/>
          <w:lang w:eastAsia="es-EC"/>
        </w:rPr>
        <w:t xml:space="preserve">para razones diferentes de I:S y RE:TR es mostrado en la figura 19.  </w:t>
      </w:r>
      <w:r w:rsidR="00142253" w:rsidRPr="00686018">
        <w:rPr>
          <w:rFonts w:ascii="Times New Roman" w:hAnsi="Times New Roman" w:cs="Times New Roman"/>
          <w:sz w:val="24"/>
          <w:lang w:eastAsia="es-EC"/>
        </w:rPr>
        <w:t>Las asíntotas más altas de metano acumulado</w:t>
      </w:r>
      <w:r w:rsidRPr="00686018">
        <w:rPr>
          <w:rFonts w:ascii="Times New Roman" w:hAnsi="Times New Roman" w:cs="Times New Roman"/>
          <w:sz w:val="24"/>
          <w:lang w:eastAsia="es-EC"/>
        </w:rPr>
        <w:t xml:space="preserve"> </w:t>
      </w:r>
      <w:r w:rsidR="00142253" w:rsidRPr="00686018">
        <w:rPr>
          <w:rFonts w:ascii="Times New Roman" w:hAnsi="Times New Roman" w:cs="Times New Roman"/>
          <w:sz w:val="24"/>
          <w:lang w:eastAsia="es-EC"/>
        </w:rPr>
        <w:t>(</w:t>
      </w:r>
      <w:r w:rsidR="007C6F3C" w:rsidRPr="00686018">
        <w:rPr>
          <w:rFonts w:ascii="Times New Roman" w:hAnsi="Times New Roman" w:cs="Times New Roman"/>
          <w:sz w:val="24"/>
          <w:lang w:eastAsia="es-EC"/>
        </w:rPr>
        <w:t>razón RE:TR-3:1</w:t>
      </w:r>
      <w:r w:rsidR="00142253" w:rsidRPr="00686018">
        <w:rPr>
          <w:rFonts w:ascii="Times New Roman" w:hAnsi="Times New Roman" w:cs="Times New Roman"/>
          <w:sz w:val="24"/>
          <w:lang w:eastAsia="es-EC"/>
        </w:rPr>
        <w:t>)</w:t>
      </w:r>
      <w:r w:rsidR="007C6F3C" w:rsidRPr="00686018">
        <w:rPr>
          <w:rFonts w:ascii="Times New Roman" w:hAnsi="Times New Roman" w:cs="Times New Roman"/>
          <w:sz w:val="24"/>
          <w:lang w:eastAsia="es-EC"/>
        </w:rPr>
        <w:t xml:space="preserve"> </w:t>
      </w:r>
      <w:r w:rsidR="00142253" w:rsidRPr="00686018">
        <w:rPr>
          <w:rFonts w:ascii="Times New Roman" w:hAnsi="Times New Roman" w:cs="Times New Roman"/>
          <w:sz w:val="24"/>
          <w:lang w:eastAsia="es-EC"/>
        </w:rPr>
        <w:t>común a los experimentos I:S 1:1 y 1:2 sugieren que añadir una fracción más alta de sustrato</w:t>
      </w:r>
      <w:r w:rsidR="00123A60" w:rsidRPr="00686018">
        <w:rPr>
          <w:rFonts w:ascii="Times New Roman" w:hAnsi="Times New Roman" w:cs="Times New Roman"/>
          <w:sz w:val="24"/>
          <w:lang w:eastAsia="es-EC"/>
        </w:rPr>
        <w:t xml:space="preserve"> con respecto al inoculo  mejoro</w:t>
      </w:r>
      <w:r w:rsidR="00142253" w:rsidRPr="00686018">
        <w:rPr>
          <w:rFonts w:ascii="Times New Roman" w:hAnsi="Times New Roman" w:cs="Times New Roman"/>
          <w:sz w:val="24"/>
          <w:lang w:eastAsia="es-EC"/>
        </w:rPr>
        <w:t xml:space="preserve"> el rendimiento de la digestión;</w:t>
      </w:r>
      <w:r w:rsidR="007C6F3C" w:rsidRPr="00686018">
        <w:rPr>
          <w:rFonts w:ascii="Times New Roman" w:hAnsi="Times New Roman" w:cs="Times New Roman"/>
          <w:sz w:val="24"/>
          <w:lang w:eastAsia="es-EC"/>
        </w:rPr>
        <w:t xml:space="preserve"> </w:t>
      </w:r>
      <w:r w:rsidR="001D3C8C" w:rsidRPr="00686018">
        <w:rPr>
          <w:rFonts w:ascii="Times New Roman" w:hAnsi="Times New Roman" w:cs="Times New Roman"/>
          <w:sz w:val="24"/>
          <w:lang w:eastAsia="es-EC"/>
        </w:rPr>
        <w:t>la figura</w:t>
      </w:r>
      <w:r w:rsidR="00142253" w:rsidRPr="00686018">
        <w:rPr>
          <w:rFonts w:ascii="Times New Roman" w:hAnsi="Times New Roman" w:cs="Times New Roman"/>
          <w:sz w:val="24"/>
          <w:lang w:eastAsia="es-EC"/>
        </w:rPr>
        <w:t xml:space="preserve"> 19C (razón 1:2</w:t>
      </w:r>
      <w:r w:rsidR="00667952" w:rsidRPr="00686018">
        <w:rPr>
          <w:rFonts w:ascii="Times New Roman" w:hAnsi="Times New Roman" w:cs="Times New Roman"/>
          <w:sz w:val="24"/>
          <w:lang w:eastAsia="es-EC"/>
        </w:rPr>
        <w:t>)</w:t>
      </w:r>
      <w:r w:rsidR="001D3C8C" w:rsidRPr="00686018">
        <w:rPr>
          <w:rFonts w:ascii="Times New Roman" w:hAnsi="Times New Roman" w:cs="Times New Roman"/>
          <w:sz w:val="24"/>
          <w:lang w:eastAsia="es-EC"/>
        </w:rPr>
        <w:t>, presenta</w:t>
      </w:r>
      <w:r w:rsidR="003F7439" w:rsidRPr="00686018">
        <w:rPr>
          <w:rFonts w:ascii="Times New Roman" w:hAnsi="Times New Roman" w:cs="Times New Roman"/>
          <w:sz w:val="24"/>
          <w:lang w:eastAsia="es-EC"/>
        </w:rPr>
        <w:t xml:space="preserve"> tratamientos que </w:t>
      </w:r>
      <w:r w:rsidR="00CF7AFE" w:rsidRPr="00686018">
        <w:rPr>
          <w:rFonts w:ascii="Times New Roman" w:hAnsi="Times New Roman" w:cs="Times New Roman"/>
          <w:sz w:val="24"/>
          <w:lang w:eastAsia="es-EC"/>
        </w:rPr>
        <w:t xml:space="preserve">abandonan la superposición y se visualiza mejor el efecto debido a la cantidad de sustrato añadido. </w:t>
      </w:r>
    </w:p>
    <w:p w:rsidR="00AD3782" w:rsidRPr="00686018" w:rsidRDefault="00AD3782" w:rsidP="00A31608">
      <w:pPr>
        <w:jc w:val="both"/>
        <w:rPr>
          <w:rFonts w:ascii="Times New Roman" w:hAnsi="Times New Roman" w:cs="Times New Roman"/>
          <w:lang w:eastAsia="es-EC"/>
        </w:rPr>
      </w:pPr>
    </w:p>
    <w:p w:rsidR="002F621A" w:rsidRPr="00686018" w:rsidRDefault="00A77D80" w:rsidP="00B46DDC">
      <w:pPr>
        <w:jc w:val="center"/>
        <w:rPr>
          <w:rFonts w:ascii="Times New Roman" w:hAnsi="Times New Roman" w:cs="Times New Roman"/>
          <w:lang w:eastAsia="es-EC"/>
        </w:rPr>
      </w:pPr>
      <w:r w:rsidRPr="00686018">
        <w:rPr>
          <w:rFonts w:ascii="Times New Roman" w:hAnsi="Times New Roman" w:cs="Times New Roman"/>
          <w:noProof/>
          <w:lang w:eastAsia="es-EC"/>
        </w:rPr>
        <w:drawing>
          <wp:inline distT="0" distB="0" distL="0" distR="0" wp14:anchorId="7CD2B2D6" wp14:editId="3A23B4C1">
            <wp:extent cx="4819211" cy="3377196"/>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88968" cy="3426080"/>
                    </a:xfrm>
                    <a:prstGeom prst="rect">
                      <a:avLst/>
                    </a:prstGeom>
                  </pic:spPr>
                </pic:pic>
              </a:graphicData>
            </a:graphic>
          </wp:inline>
        </w:drawing>
      </w:r>
    </w:p>
    <w:p w:rsidR="002F621A" w:rsidRPr="00686018" w:rsidRDefault="00B639AA" w:rsidP="00B46DDC">
      <w:pPr>
        <w:pStyle w:val="Descripcin"/>
        <w:jc w:val="center"/>
        <w:rPr>
          <w:rFonts w:ascii="Times New Roman" w:hAnsi="Times New Roman" w:cs="Times New Roman"/>
          <w:i w:val="0"/>
          <w:color w:val="auto"/>
        </w:rPr>
      </w:pPr>
      <w:bookmarkStart w:id="237" w:name="_Toc9537890"/>
      <w:r>
        <w:rPr>
          <w:rFonts w:ascii="Times New Roman" w:hAnsi="Times New Roman" w:cs="Times New Roman"/>
          <w:b/>
          <w:i w:val="0"/>
          <w:color w:val="auto"/>
        </w:rPr>
        <w:t>Figura</w:t>
      </w:r>
      <w:r w:rsidR="007728DF" w:rsidRPr="00686018">
        <w:rPr>
          <w:rFonts w:ascii="Times New Roman" w:hAnsi="Times New Roman" w:cs="Times New Roman"/>
          <w:b/>
          <w:i w:val="0"/>
          <w:color w:val="auto"/>
        </w:rPr>
        <w:t xml:space="preserve"> </w:t>
      </w:r>
      <w:r w:rsidR="007728DF" w:rsidRPr="00686018">
        <w:rPr>
          <w:rFonts w:ascii="Times New Roman" w:hAnsi="Times New Roman" w:cs="Times New Roman"/>
          <w:b/>
          <w:i w:val="0"/>
          <w:color w:val="auto"/>
        </w:rPr>
        <w:fldChar w:fldCharType="begin"/>
      </w:r>
      <w:r w:rsidR="007728DF" w:rsidRPr="00686018">
        <w:rPr>
          <w:rFonts w:ascii="Times New Roman" w:hAnsi="Times New Roman" w:cs="Times New Roman"/>
          <w:b/>
          <w:i w:val="0"/>
          <w:color w:val="auto"/>
        </w:rPr>
        <w:instrText xml:space="preserve"> SEQ Figure \* ARABIC </w:instrText>
      </w:r>
      <w:r w:rsidR="007728DF"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22</w:t>
      </w:r>
      <w:r w:rsidR="007728DF" w:rsidRPr="00686018">
        <w:rPr>
          <w:rFonts w:ascii="Times New Roman" w:hAnsi="Times New Roman" w:cs="Times New Roman"/>
          <w:b/>
          <w:i w:val="0"/>
          <w:color w:val="auto"/>
        </w:rPr>
        <w:fldChar w:fldCharType="end"/>
      </w:r>
      <w:r w:rsidR="007728DF" w:rsidRPr="00686018">
        <w:rPr>
          <w:rFonts w:ascii="Times New Roman" w:hAnsi="Times New Roman" w:cs="Times New Roman"/>
          <w:i w:val="0"/>
          <w:color w:val="auto"/>
        </w:rPr>
        <w:t xml:space="preserve">.  Rendimiento de metano acumulado (RMA) en </w:t>
      </w:r>
      <w:r w:rsidR="004F5813" w:rsidRPr="00686018">
        <w:rPr>
          <w:rFonts w:ascii="Times New Roman" w:hAnsi="Times New Roman" w:cs="Times New Roman"/>
          <w:i w:val="0"/>
          <w:color w:val="auto"/>
        </w:rPr>
        <w:t xml:space="preserve">monodigestión </w:t>
      </w:r>
      <w:r w:rsidR="007728DF" w:rsidRPr="00686018">
        <w:rPr>
          <w:rFonts w:ascii="Times New Roman" w:hAnsi="Times New Roman" w:cs="Times New Roman"/>
          <w:i w:val="0"/>
          <w:color w:val="auto"/>
        </w:rPr>
        <w:t>y codigestión para razones diferentes de I:S y RE:TR.</w:t>
      </w:r>
      <w:bookmarkEnd w:id="237"/>
    </w:p>
    <w:p w:rsidR="007728DF" w:rsidRPr="00686018" w:rsidRDefault="007728DF"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962CB2" w:rsidRPr="00686018" w:rsidRDefault="001C32EB"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Como indica la tabla 11</w:t>
      </w:r>
      <w:r w:rsidR="006E31EF">
        <w:rPr>
          <w:rFonts w:ascii="Times New Roman" w:hAnsi="Times New Roman" w:cs="Times New Roman"/>
          <w:sz w:val="24"/>
          <w:lang w:eastAsia="es-EC"/>
        </w:rPr>
        <w:t xml:space="preserve"> y la figura 22</w:t>
      </w:r>
      <w:r w:rsidR="00F85ECC" w:rsidRPr="00686018">
        <w:rPr>
          <w:rFonts w:ascii="Times New Roman" w:hAnsi="Times New Roman" w:cs="Times New Roman"/>
          <w:sz w:val="24"/>
          <w:lang w:eastAsia="es-EC"/>
        </w:rPr>
        <w:t xml:space="preserve">. Al avanzar en las columnas de </w:t>
      </w:r>
      <w:r w:rsidR="004F5813" w:rsidRPr="00686018">
        <w:rPr>
          <w:rFonts w:ascii="Times New Roman" w:hAnsi="Times New Roman" w:cs="Times New Roman"/>
          <w:sz w:val="24"/>
          <w:lang w:eastAsia="es-EC"/>
        </w:rPr>
        <w:t xml:space="preserve">monodigestión </w:t>
      </w:r>
      <w:r w:rsidR="00F85ECC" w:rsidRPr="00686018">
        <w:rPr>
          <w:rFonts w:ascii="Times New Roman" w:hAnsi="Times New Roman" w:cs="Times New Roman"/>
          <w:sz w:val="24"/>
          <w:lang w:eastAsia="es-EC"/>
        </w:rPr>
        <w:t xml:space="preserve">(RE:TR-0:4 y RE:TR-4:0) y </w:t>
      </w:r>
      <w:r w:rsidR="00197546" w:rsidRPr="00686018">
        <w:rPr>
          <w:rFonts w:ascii="Times New Roman" w:hAnsi="Times New Roman" w:cs="Times New Roman"/>
          <w:sz w:val="24"/>
          <w:lang w:eastAsia="es-EC"/>
        </w:rPr>
        <w:t>codigestión</w:t>
      </w:r>
      <w:r w:rsidR="00F85ECC" w:rsidRPr="00686018">
        <w:rPr>
          <w:rFonts w:ascii="Times New Roman" w:hAnsi="Times New Roman" w:cs="Times New Roman"/>
          <w:sz w:val="24"/>
          <w:lang w:eastAsia="es-EC"/>
        </w:rPr>
        <w:t xml:space="preserve"> (RE:TR-1:3) el rendimiento de metano acumulado disminuye a medida que la cantidad de inoculo añadido al digestor desciende. Algo parecido ocurre en </w:t>
      </w:r>
      <w:r w:rsidR="00197546" w:rsidRPr="00686018">
        <w:rPr>
          <w:rFonts w:ascii="Times New Roman" w:hAnsi="Times New Roman" w:cs="Times New Roman"/>
          <w:sz w:val="24"/>
          <w:lang w:eastAsia="es-EC"/>
        </w:rPr>
        <w:t>codigestión</w:t>
      </w:r>
      <w:r w:rsidR="00F85ECC" w:rsidRPr="00686018">
        <w:rPr>
          <w:rFonts w:ascii="Times New Roman" w:hAnsi="Times New Roman" w:cs="Times New Roman"/>
          <w:sz w:val="24"/>
          <w:lang w:eastAsia="es-EC"/>
        </w:rPr>
        <w:t xml:space="preserve"> de RE:TR-2:2 y RE:TR-3:1, sin embargo, la última fila indica un incremento del rendimiento de metano acumulado cuando se emplea un 33.33% de inoculo. Al avanzar en las filas </w:t>
      </w:r>
      <w:r w:rsidR="00F85ECC" w:rsidRPr="00686018">
        <w:rPr>
          <w:rFonts w:ascii="Times New Roman" w:hAnsi="Times New Roman" w:cs="Times New Roman"/>
          <w:sz w:val="24"/>
          <w:lang w:eastAsia="es-EC"/>
        </w:rPr>
        <w:lastRenderedPageBreak/>
        <w:t>para fracciones diferentes de RE y TR, se puede notar un máximo de producción para fracciones difer</w:t>
      </w:r>
      <w:r w:rsidR="006F4CF0" w:rsidRPr="00686018">
        <w:rPr>
          <w:rFonts w:ascii="Times New Roman" w:hAnsi="Times New Roman" w:cs="Times New Roman"/>
          <w:sz w:val="24"/>
          <w:lang w:eastAsia="es-EC"/>
        </w:rPr>
        <w:t>entes de inoculo. Un máximo de 306.205</w:t>
      </w:r>
      <w:r w:rsidR="00DD14D0">
        <w:rPr>
          <w:rFonts w:ascii="Times New Roman" w:hAnsi="Times New Roman" w:cs="Times New Roman"/>
          <w:sz w:val="24"/>
          <w:lang w:eastAsia="es-EC"/>
        </w:rPr>
        <w:t>mL</w:t>
      </w:r>
      <w:r w:rsidR="00F85ECC" w:rsidRPr="00686018">
        <w:rPr>
          <w:rFonts w:ascii="Times New Roman" w:hAnsi="Times New Roman" w:cs="Times New Roman"/>
          <w:sz w:val="24"/>
          <w:lang w:eastAsia="es-EC"/>
        </w:rPr>
        <w:t>CH4/g-SV (RE:TR-2:2), 272.836</w:t>
      </w:r>
      <w:r w:rsidR="00DD14D0">
        <w:rPr>
          <w:rFonts w:ascii="Times New Roman" w:hAnsi="Times New Roman" w:cs="Times New Roman"/>
          <w:sz w:val="24"/>
          <w:lang w:eastAsia="es-EC"/>
        </w:rPr>
        <w:t>mL</w:t>
      </w:r>
      <w:r w:rsidR="00F85ECC" w:rsidRPr="00686018">
        <w:rPr>
          <w:rFonts w:ascii="Times New Roman" w:hAnsi="Times New Roman" w:cs="Times New Roman"/>
          <w:sz w:val="24"/>
          <w:lang w:eastAsia="es-EC"/>
        </w:rPr>
        <w:t>CH4/g-SV y 289.078</w:t>
      </w:r>
      <w:r w:rsidR="00DD14D0">
        <w:rPr>
          <w:rFonts w:ascii="Times New Roman" w:hAnsi="Times New Roman" w:cs="Times New Roman"/>
          <w:sz w:val="24"/>
          <w:lang w:eastAsia="es-EC"/>
        </w:rPr>
        <w:t>mL</w:t>
      </w:r>
      <w:r w:rsidR="00F85ECC" w:rsidRPr="00686018">
        <w:rPr>
          <w:rFonts w:ascii="Times New Roman" w:hAnsi="Times New Roman" w:cs="Times New Roman"/>
          <w:sz w:val="24"/>
          <w:lang w:eastAsia="es-EC"/>
        </w:rPr>
        <w:t xml:space="preserve">CH4/g-SV fueron identificados a una razón I:S de 2:1, 1:1 y 1:2 respectivamente. </w:t>
      </w:r>
      <w:r w:rsidR="007C6F3C" w:rsidRPr="00686018">
        <w:rPr>
          <w:rFonts w:ascii="Times New Roman" w:hAnsi="Times New Roman" w:cs="Times New Roman"/>
          <w:sz w:val="24"/>
          <w:lang w:eastAsia="es-EC"/>
        </w:rPr>
        <w:t xml:space="preserve">Se podría identificar un </w:t>
      </w:r>
      <w:r w:rsidR="00F85ECC" w:rsidRPr="00686018">
        <w:rPr>
          <w:rFonts w:ascii="Times New Roman" w:hAnsi="Times New Roman" w:cs="Times New Roman"/>
          <w:sz w:val="24"/>
          <w:lang w:eastAsia="es-EC"/>
        </w:rPr>
        <w:t>rango óptimo de metano generado</w:t>
      </w:r>
      <w:r w:rsidR="007C6F3C" w:rsidRPr="00686018">
        <w:rPr>
          <w:rFonts w:ascii="Times New Roman" w:hAnsi="Times New Roman" w:cs="Times New Roman"/>
          <w:sz w:val="24"/>
          <w:lang w:eastAsia="es-EC"/>
        </w:rPr>
        <w:t>,</w:t>
      </w:r>
      <w:r w:rsidR="00F85ECC" w:rsidRPr="00686018">
        <w:rPr>
          <w:rFonts w:ascii="Times New Roman" w:hAnsi="Times New Roman" w:cs="Times New Roman"/>
          <w:sz w:val="24"/>
          <w:lang w:eastAsia="es-EC"/>
        </w:rPr>
        <w:t xml:space="preserve"> correspondientes a fracciones de residuo ruminal de 50 a 75% a cualquier concentración de inoculo.</w:t>
      </w:r>
    </w:p>
    <w:p w:rsidR="00406098" w:rsidRPr="00686018" w:rsidRDefault="00406098" w:rsidP="00A31608">
      <w:pPr>
        <w:pStyle w:val="Descripcin"/>
        <w:jc w:val="both"/>
        <w:rPr>
          <w:rFonts w:ascii="Times New Roman" w:hAnsi="Times New Roman" w:cs="Times New Roman"/>
          <w:i w:val="0"/>
          <w:color w:val="auto"/>
          <w:lang w:eastAsia="es-EC"/>
        </w:rPr>
      </w:pPr>
      <w:bookmarkStart w:id="238" w:name="_Toc9537914"/>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11</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Metano acumulado</w:t>
      </w:r>
      <w:r w:rsidR="00080672" w:rsidRPr="00686018">
        <w:rPr>
          <w:rFonts w:ascii="Times New Roman" w:hAnsi="Times New Roman" w:cs="Times New Roman"/>
          <w:i w:val="0"/>
          <w:color w:val="auto"/>
        </w:rPr>
        <w:t xml:space="preserve"> promedio</w:t>
      </w:r>
      <w:r w:rsidRPr="00686018">
        <w:rPr>
          <w:rFonts w:ascii="Times New Roman" w:hAnsi="Times New Roman" w:cs="Times New Roman"/>
          <w:i w:val="0"/>
          <w:color w:val="auto"/>
        </w:rPr>
        <w:t xml:space="preserve"> con relaciones diferentes de I:S y RE:TR.</w:t>
      </w:r>
      <w:bookmarkEnd w:id="238"/>
    </w:p>
    <w:tbl>
      <w:tblPr>
        <w:tblW w:w="7972" w:type="dxa"/>
        <w:jc w:val="center"/>
        <w:tblCellMar>
          <w:left w:w="70" w:type="dxa"/>
          <w:right w:w="70" w:type="dxa"/>
        </w:tblCellMar>
        <w:tblLook w:val="04A0" w:firstRow="1" w:lastRow="0" w:firstColumn="1" w:lastColumn="0" w:noHBand="0" w:noVBand="1"/>
      </w:tblPr>
      <w:tblGrid>
        <w:gridCol w:w="1102"/>
        <w:gridCol w:w="1431"/>
        <w:gridCol w:w="1029"/>
        <w:gridCol w:w="1102"/>
        <w:gridCol w:w="1102"/>
        <w:gridCol w:w="1102"/>
        <w:gridCol w:w="1104"/>
      </w:tblGrid>
      <w:tr w:rsidR="00406098" w:rsidRPr="00686018" w:rsidTr="007D362B">
        <w:trPr>
          <w:trHeight w:val="523"/>
          <w:jc w:val="center"/>
        </w:trPr>
        <w:tc>
          <w:tcPr>
            <w:tcW w:w="1102" w:type="dxa"/>
            <w:vMerge w:val="restart"/>
            <w:tcBorders>
              <w:top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Relación I/S</w:t>
            </w:r>
          </w:p>
        </w:tc>
        <w:tc>
          <w:tcPr>
            <w:tcW w:w="1431" w:type="dxa"/>
            <w:vMerge w:val="restart"/>
            <w:tcBorders>
              <w:top w:val="single" w:sz="4" w:space="0" w:color="auto"/>
            </w:tcBorders>
            <w:shd w:val="clear" w:color="auto" w:fill="auto"/>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Carga orgánica (g-SV)</w:t>
            </w:r>
          </w:p>
        </w:tc>
        <w:tc>
          <w:tcPr>
            <w:tcW w:w="5439" w:type="dxa"/>
            <w:gridSpan w:val="5"/>
            <w:tcBorders>
              <w:top w:val="single" w:sz="4" w:space="0" w:color="auto"/>
              <w:bottom w:val="single" w:sz="4" w:space="0" w:color="auto"/>
            </w:tcBorders>
            <w:shd w:val="clear" w:color="auto" w:fill="auto"/>
            <w:noWrap/>
            <w:vAlign w:val="center"/>
            <w:hideMark/>
          </w:tcPr>
          <w:p w:rsidR="00406098" w:rsidRPr="00686018" w:rsidRDefault="00DD14D0" w:rsidP="007D362B">
            <w:pPr>
              <w:spacing w:after="0" w:line="240" w:lineRule="auto"/>
              <w:jc w:val="center"/>
              <w:rPr>
                <w:rFonts w:ascii="Times New Roman" w:eastAsia="Times New Roman" w:hAnsi="Times New Roman" w:cs="Times New Roman"/>
                <w:b/>
                <w:bCs/>
                <w:sz w:val="18"/>
                <w:lang w:eastAsia="es-EC"/>
              </w:rPr>
            </w:pPr>
            <w:r>
              <w:rPr>
                <w:rFonts w:ascii="Times New Roman" w:eastAsia="Times New Roman" w:hAnsi="Times New Roman" w:cs="Times New Roman"/>
                <w:b/>
                <w:bCs/>
                <w:sz w:val="18"/>
                <w:lang w:eastAsia="es-EC"/>
              </w:rPr>
              <w:t>mL</w:t>
            </w:r>
            <w:r w:rsidR="00406098" w:rsidRPr="00686018">
              <w:rPr>
                <w:rFonts w:ascii="Times New Roman" w:eastAsia="Times New Roman" w:hAnsi="Times New Roman" w:cs="Times New Roman"/>
                <w:b/>
                <w:bCs/>
                <w:sz w:val="18"/>
                <w:lang w:eastAsia="es-EC"/>
              </w:rPr>
              <w:t xml:space="preserve"> Metano/g-SV  acumulado</w:t>
            </w:r>
          </w:p>
        </w:tc>
      </w:tr>
      <w:tr w:rsidR="00406098" w:rsidRPr="00686018" w:rsidTr="007D362B">
        <w:trPr>
          <w:trHeight w:val="523"/>
          <w:jc w:val="center"/>
        </w:trPr>
        <w:tc>
          <w:tcPr>
            <w:tcW w:w="1102" w:type="dxa"/>
            <w:vMerge/>
            <w:tcBorders>
              <w:bottom w:val="single" w:sz="4" w:space="0" w:color="auto"/>
            </w:tcBorders>
            <w:shd w:val="clear" w:color="auto" w:fill="auto"/>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p>
        </w:tc>
        <w:tc>
          <w:tcPr>
            <w:tcW w:w="1431" w:type="dxa"/>
            <w:vMerge/>
            <w:tcBorders>
              <w:bottom w:val="single" w:sz="4" w:space="0" w:color="auto"/>
            </w:tcBorders>
            <w:shd w:val="clear" w:color="auto" w:fill="auto"/>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p>
        </w:tc>
        <w:tc>
          <w:tcPr>
            <w:tcW w:w="1029" w:type="dxa"/>
            <w:tcBorders>
              <w:top w:val="single" w:sz="4" w:space="0" w:color="auto"/>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RE:TR-0:4</w:t>
            </w:r>
          </w:p>
        </w:tc>
        <w:tc>
          <w:tcPr>
            <w:tcW w:w="1102" w:type="dxa"/>
            <w:tcBorders>
              <w:top w:val="single" w:sz="4" w:space="0" w:color="auto"/>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RE:TR-1:3</w:t>
            </w:r>
          </w:p>
        </w:tc>
        <w:tc>
          <w:tcPr>
            <w:tcW w:w="1102" w:type="dxa"/>
            <w:tcBorders>
              <w:top w:val="single" w:sz="4" w:space="0" w:color="auto"/>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RE:TR-2:2</w:t>
            </w:r>
          </w:p>
        </w:tc>
        <w:tc>
          <w:tcPr>
            <w:tcW w:w="1102" w:type="dxa"/>
            <w:tcBorders>
              <w:top w:val="single" w:sz="4" w:space="0" w:color="auto"/>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RE:TR-3:1</w:t>
            </w:r>
          </w:p>
        </w:tc>
        <w:tc>
          <w:tcPr>
            <w:tcW w:w="1102" w:type="dxa"/>
            <w:tcBorders>
              <w:top w:val="single" w:sz="4" w:space="0" w:color="auto"/>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b/>
                <w:bCs/>
                <w:sz w:val="18"/>
                <w:lang w:eastAsia="es-EC"/>
              </w:rPr>
            </w:pPr>
            <w:r w:rsidRPr="00686018">
              <w:rPr>
                <w:rFonts w:ascii="Times New Roman" w:eastAsia="Times New Roman" w:hAnsi="Times New Roman" w:cs="Times New Roman"/>
                <w:b/>
                <w:bCs/>
                <w:sz w:val="18"/>
                <w:lang w:eastAsia="es-EC"/>
              </w:rPr>
              <w:t>RE:TR-4:0</w:t>
            </w:r>
          </w:p>
        </w:tc>
      </w:tr>
      <w:tr w:rsidR="00406098" w:rsidRPr="00686018" w:rsidTr="007D362B">
        <w:trPr>
          <w:trHeight w:val="523"/>
          <w:jc w:val="center"/>
        </w:trPr>
        <w:tc>
          <w:tcPr>
            <w:tcW w:w="1102" w:type="dxa"/>
            <w:tcBorders>
              <w:top w:val="single" w:sz="4" w:space="0" w:color="auto"/>
            </w:tcBorders>
            <w:shd w:val="clear" w:color="auto" w:fill="auto"/>
            <w:noWrap/>
            <w:vAlign w:val="center"/>
            <w:hideMark/>
          </w:tcPr>
          <w:p w:rsidR="00406098" w:rsidRPr="00686018" w:rsidRDefault="003E47BC"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I:S</w:t>
            </w:r>
            <w:r w:rsidR="00406098" w:rsidRPr="00686018">
              <w:rPr>
                <w:rFonts w:ascii="Times New Roman" w:eastAsia="Times New Roman" w:hAnsi="Times New Roman" w:cs="Times New Roman"/>
                <w:sz w:val="18"/>
                <w:lang w:eastAsia="es-EC"/>
              </w:rPr>
              <w:t xml:space="preserve"> - 2:1</w:t>
            </w:r>
          </w:p>
        </w:tc>
        <w:tc>
          <w:tcPr>
            <w:tcW w:w="1431" w:type="dxa"/>
            <w:tcBorders>
              <w:top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1</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116</w:t>
            </w:r>
          </w:p>
        </w:tc>
        <w:tc>
          <w:tcPr>
            <w:tcW w:w="1029" w:type="dxa"/>
            <w:tcBorders>
              <w:top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274</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919</w:t>
            </w:r>
          </w:p>
        </w:tc>
        <w:tc>
          <w:tcPr>
            <w:tcW w:w="1102" w:type="dxa"/>
            <w:tcBorders>
              <w:top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288</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376</w:t>
            </w:r>
          </w:p>
        </w:tc>
        <w:tc>
          <w:tcPr>
            <w:tcW w:w="1102" w:type="dxa"/>
            <w:tcBorders>
              <w:top w:val="single" w:sz="4" w:space="0" w:color="auto"/>
            </w:tcBorders>
            <w:shd w:val="clear" w:color="auto" w:fill="auto"/>
            <w:noWrap/>
            <w:vAlign w:val="center"/>
            <w:hideMark/>
          </w:tcPr>
          <w:p w:rsidR="00406098" w:rsidRPr="00686018" w:rsidRDefault="00766DD6"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306</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205</w:t>
            </w:r>
          </w:p>
        </w:tc>
        <w:tc>
          <w:tcPr>
            <w:tcW w:w="1102" w:type="dxa"/>
            <w:tcBorders>
              <w:top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277</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196</w:t>
            </w:r>
          </w:p>
        </w:tc>
        <w:tc>
          <w:tcPr>
            <w:tcW w:w="1102" w:type="dxa"/>
            <w:tcBorders>
              <w:top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250</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829</w:t>
            </w:r>
          </w:p>
        </w:tc>
      </w:tr>
      <w:tr w:rsidR="00406098" w:rsidRPr="00686018" w:rsidTr="007D362B">
        <w:trPr>
          <w:trHeight w:val="523"/>
          <w:jc w:val="center"/>
        </w:trPr>
        <w:tc>
          <w:tcPr>
            <w:tcW w:w="1102" w:type="dxa"/>
            <w:shd w:val="clear" w:color="auto" w:fill="auto"/>
            <w:noWrap/>
            <w:vAlign w:val="center"/>
            <w:hideMark/>
          </w:tcPr>
          <w:p w:rsidR="00406098" w:rsidRPr="00686018" w:rsidRDefault="003E47BC"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I:S</w:t>
            </w:r>
            <w:r w:rsidR="00406098" w:rsidRPr="00686018">
              <w:rPr>
                <w:rFonts w:ascii="Times New Roman" w:eastAsia="Times New Roman" w:hAnsi="Times New Roman" w:cs="Times New Roman"/>
                <w:sz w:val="18"/>
                <w:lang w:eastAsia="es-EC"/>
              </w:rPr>
              <w:t xml:space="preserve"> - 1:1</w:t>
            </w:r>
          </w:p>
        </w:tc>
        <w:tc>
          <w:tcPr>
            <w:tcW w:w="1431" w:type="dxa"/>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1</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674</w:t>
            </w:r>
          </w:p>
        </w:tc>
        <w:tc>
          <w:tcPr>
            <w:tcW w:w="1029" w:type="dxa"/>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264</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589</w:t>
            </w:r>
          </w:p>
        </w:tc>
        <w:tc>
          <w:tcPr>
            <w:tcW w:w="1102" w:type="dxa"/>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245</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631</w:t>
            </w:r>
          </w:p>
        </w:tc>
        <w:tc>
          <w:tcPr>
            <w:tcW w:w="1102" w:type="dxa"/>
            <w:shd w:val="clear" w:color="auto" w:fill="auto"/>
            <w:noWrap/>
            <w:vAlign w:val="center"/>
            <w:hideMark/>
          </w:tcPr>
          <w:p w:rsidR="00406098" w:rsidRPr="00686018" w:rsidRDefault="00766DD6"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244</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382</w:t>
            </w:r>
          </w:p>
        </w:tc>
        <w:tc>
          <w:tcPr>
            <w:tcW w:w="1102" w:type="dxa"/>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272</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836</w:t>
            </w:r>
          </w:p>
        </w:tc>
        <w:tc>
          <w:tcPr>
            <w:tcW w:w="1102" w:type="dxa"/>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239</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247</w:t>
            </w:r>
          </w:p>
        </w:tc>
      </w:tr>
      <w:tr w:rsidR="00406098" w:rsidRPr="00686018" w:rsidTr="007D362B">
        <w:trPr>
          <w:trHeight w:val="523"/>
          <w:jc w:val="center"/>
        </w:trPr>
        <w:tc>
          <w:tcPr>
            <w:tcW w:w="1102" w:type="dxa"/>
            <w:tcBorders>
              <w:bottom w:val="single" w:sz="4" w:space="0" w:color="auto"/>
            </w:tcBorders>
            <w:shd w:val="clear" w:color="auto" w:fill="auto"/>
            <w:noWrap/>
            <w:vAlign w:val="center"/>
            <w:hideMark/>
          </w:tcPr>
          <w:p w:rsidR="00406098" w:rsidRPr="00686018" w:rsidRDefault="003E47BC"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I:S</w:t>
            </w:r>
            <w:r w:rsidR="00406098" w:rsidRPr="00686018">
              <w:rPr>
                <w:rFonts w:ascii="Times New Roman" w:eastAsia="Times New Roman" w:hAnsi="Times New Roman" w:cs="Times New Roman"/>
                <w:sz w:val="18"/>
                <w:lang w:eastAsia="es-EC"/>
              </w:rPr>
              <w:t xml:space="preserve"> - 1:2</w:t>
            </w:r>
          </w:p>
        </w:tc>
        <w:tc>
          <w:tcPr>
            <w:tcW w:w="1431" w:type="dxa"/>
            <w:tcBorders>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232</w:t>
            </w:r>
          </w:p>
        </w:tc>
        <w:tc>
          <w:tcPr>
            <w:tcW w:w="1029" w:type="dxa"/>
            <w:tcBorders>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167</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071</w:t>
            </w:r>
          </w:p>
        </w:tc>
        <w:tc>
          <w:tcPr>
            <w:tcW w:w="1102" w:type="dxa"/>
            <w:tcBorders>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227</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739</w:t>
            </w:r>
          </w:p>
        </w:tc>
        <w:tc>
          <w:tcPr>
            <w:tcW w:w="1102" w:type="dxa"/>
            <w:tcBorders>
              <w:bottom w:val="single" w:sz="4" w:space="0" w:color="auto"/>
            </w:tcBorders>
            <w:shd w:val="clear" w:color="auto" w:fill="auto"/>
            <w:noWrap/>
            <w:vAlign w:val="center"/>
            <w:hideMark/>
          </w:tcPr>
          <w:p w:rsidR="00406098" w:rsidRPr="00686018" w:rsidRDefault="00766DD6"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255</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285</w:t>
            </w:r>
          </w:p>
        </w:tc>
        <w:tc>
          <w:tcPr>
            <w:tcW w:w="1102" w:type="dxa"/>
            <w:tcBorders>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289</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078</w:t>
            </w:r>
          </w:p>
        </w:tc>
        <w:tc>
          <w:tcPr>
            <w:tcW w:w="1102" w:type="dxa"/>
            <w:tcBorders>
              <w:bottom w:val="single" w:sz="4" w:space="0" w:color="auto"/>
            </w:tcBorders>
            <w:shd w:val="clear" w:color="auto" w:fill="auto"/>
            <w:noWrap/>
            <w:vAlign w:val="center"/>
            <w:hideMark/>
          </w:tcPr>
          <w:p w:rsidR="00406098" w:rsidRPr="00686018" w:rsidRDefault="00406098" w:rsidP="007D362B">
            <w:pPr>
              <w:spacing w:after="0" w:line="240" w:lineRule="auto"/>
              <w:jc w:val="center"/>
              <w:rPr>
                <w:rFonts w:ascii="Times New Roman" w:eastAsia="Times New Roman" w:hAnsi="Times New Roman" w:cs="Times New Roman"/>
                <w:sz w:val="18"/>
                <w:lang w:eastAsia="es-EC"/>
              </w:rPr>
            </w:pPr>
            <w:r w:rsidRPr="00686018">
              <w:rPr>
                <w:rFonts w:ascii="Times New Roman" w:eastAsia="Times New Roman" w:hAnsi="Times New Roman" w:cs="Times New Roman"/>
                <w:sz w:val="18"/>
                <w:lang w:eastAsia="es-EC"/>
              </w:rPr>
              <w:t>232</w:t>
            </w:r>
            <w:r w:rsidR="00123A60" w:rsidRPr="00686018">
              <w:rPr>
                <w:rFonts w:ascii="Times New Roman" w:eastAsia="Times New Roman" w:hAnsi="Times New Roman" w:cs="Times New Roman"/>
                <w:sz w:val="18"/>
                <w:lang w:eastAsia="es-EC"/>
              </w:rPr>
              <w:t>.</w:t>
            </w:r>
            <w:r w:rsidRPr="00686018">
              <w:rPr>
                <w:rFonts w:ascii="Times New Roman" w:eastAsia="Times New Roman" w:hAnsi="Times New Roman" w:cs="Times New Roman"/>
                <w:sz w:val="18"/>
                <w:lang w:eastAsia="es-EC"/>
              </w:rPr>
              <w:t>249</w:t>
            </w:r>
          </w:p>
        </w:tc>
      </w:tr>
    </w:tbl>
    <w:p w:rsidR="002F621A" w:rsidRPr="00686018" w:rsidRDefault="00406098"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DD0237" w:rsidRPr="00686018" w:rsidRDefault="00DD0237" w:rsidP="00A31608">
      <w:pPr>
        <w:pStyle w:val="Ttulo3"/>
        <w:numPr>
          <w:ilvl w:val="1"/>
          <w:numId w:val="4"/>
        </w:numPr>
        <w:ind w:left="431" w:hanging="431"/>
        <w:jc w:val="both"/>
        <w:rPr>
          <w:rFonts w:ascii="Times New Roman" w:hAnsi="Times New Roman" w:cs="Times New Roman"/>
          <w:i w:val="0"/>
          <w:lang w:eastAsia="es-EC"/>
        </w:rPr>
      </w:pPr>
      <w:bookmarkStart w:id="239" w:name="_Toc9537849"/>
      <w:r w:rsidRPr="00686018">
        <w:rPr>
          <w:rFonts w:ascii="Times New Roman" w:hAnsi="Times New Roman" w:cs="Times New Roman"/>
          <w:i w:val="0"/>
          <w:lang w:eastAsia="es-EC"/>
        </w:rPr>
        <w:t>Efecto del pH sobre el rendimiento de metano acumulado</w:t>
      </w:r>
      <w:bookmarkEnd w:id="239"/>
    </w:p>
    <w:p w:rsidR="00DD0237" w:rsidRPr="00686018" w:rsidRDefault="00DD0237"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La tabla 12 muestra la variación del pH promedio ocurrida durante la codigestión a los 40 días.  Se puede observar que el pH inicial asciende a medida que la cantidad de RE aumenta en los digestores sin importar la cantidad de inoculo presente, indicando la capacidad amortiguadora favorable de RE; ocurre un descenso leve del pH al final del experimento, sin embargo, despreciable como para considerarlo inferior al nivel óptimo. Para los tres casos experimentales, el pH en los digestores se mantiene dentro del rango 6.8 a 7.8 </w:t>
      </w:r>
      <w:r w:rsidR="00D96D6E" w:rsidRPr="00686018">
        <w:rPr>
          <w:rFonts w:ascii="Times New Roman" w:hAnsi="Times New Roman" w:cs="Times New Roman"/>
          <w:sz w:val="24"/>
          <w:lang w:eastAsia="es-EC"/>
        </w:rPr>
        <w:t xml:space="preserve">optimo </w:t>
      </w:r>
      <w:r w:rsidR="00D96D6E" w:rsidRPr="00686018">
        <w:rPr>
          <w:rFonts w:ascii="Times New Roman" w:hAnsi="Times New Roman" w:cs="Times New Roman"/>
          <w:sz w:val="24"/>
          <w:lang w:eastAsia="es-EC"/>
        </w:rPr>
        <w:fldChar w:fldCharType="begin" w:fldLock="1"/>
      </w:r>
      <w:r w:rsidR="00D96D6E" w:rsidRPr="00686018">
        <w:rPr>
          <w:rFonts w:ascii="Times New Roman" w:hAnsi="Times New Roman" w:cs="Times New Roman"/>
          <w:sz w:val="24"/>
          <w:lang w:eastAsia="es-EC"/>
        </w:rPr>
        <w:instrText>ADDIN CSL_CITATION {"citationItems":[{"id":"ITEM-1","itemData":{"DOI":"10.1016/j.rser.2016.11.184","ISBN":"13640321","ISSN":"18790690","abstract":"Globally, there is increasing awareness that renewable energy and energy efficiency are vital for both creating new economic opportunities and controlling the environmental pollution. AD technology is the biochemical process of biogas production which can change the complex organic materials into a clean and renewable source of energy. AcoD process is a reliable alternative option to resolve the disadvantages of single substrate digestion system related to substrate characteristics and system optimization. This paper reviewed the research progress and challenges of AcoD technology, and the contribution of different techniques in biogas production engineering. As the applicability and demand of the AcoD technology increases, the complexity of the system becomes increased, and the characterization of organic materials becomes volatile which requires advanced methods for investigation. Numerous publications have been noted that ADM1 model and its modified version becomes the most powerful tool to optimize the AcoD process of biogas production, and indicating that the disintegration and hydrolysis steps are the limiting factors of co-digestion process. Biochemical methane potential (BMP) test is promising method to determine the biodegradability and decomposition rate of organic materials. The addition of different environmentally friendly nanoparticles can improve the stability and performance of the AcoD system. The process optimization and improvement of biogas production still seek further investigations. Furthermore, using advanced simulation approaches and characterization methods of organic wastes can accelerate the transformation to industrializations, and realize the significant improvement of biogas production as a renewable source and economically feasible energy in developing countries, like China. Finally, the review reveals, designing and developing a framework, including various aspects to improve the biogas production is essential.","author":[{"dropping-particle":"","family":"Hagos","given":"Kiros","non-dropping-particle":"","parse-names":false,"suffix":""},{"dropping-particle":"","family":"Zong","given":"Jianpeng","non-dropping-particle":"","parse-names":false,"suffix":""},{"dropping-particle":"","family":"Li","given":"Dongxue","non-dropping-particle":"","parse-names":false,"suffix":""},{"dropping-particle":"","family":"Liu","given":"Chang","non-dropping-particle":"","parse-names":false,"suffix":""},{"dropping-particle":"","family":"Lu","given":"Xiaohua","non-dropping-particle":"","parse-names":false,"suffix":""}],"container-title":"Renewable and Sustainable Energy Reviews","id":"ITEM-1","issue":"September","issued":{"date-parts":[["2017"]]},"page":"1485-1496","publisher":"Elsevier","title":"Anaerobic co-digestion process for biogas production: Progress, challenges and perspectives","type":"article-journal","volume":"76"},"uris":["http://www.mendeley.com/documents/?uuid=646c4b7e-0e28-4baa-ad4e-fd5fcccd6f4a"]}],"mendeley":{"formattedCitation":"(Hagos et al. 2017)","plainTextFormattedCitation":"(Hagos et al. 2017)","previouslyFormattedCitation":"(Hagos et al. 2017)"},"properties":{"noteIndex":0},"schema":"https://github.com/citation-style-language/schema/raw/master/csl-citation.json"}</w:instrText>
      </w:r>
      <w:r w:rsidR="00D96D6E" w:rsidRPr="00686018">
        <w:rPr>
          <w:rFonts w:ascii="Times New Roman" w:hAnsi="Times New Roman" w:cs="Times New Roman"/>
          <w:sz w:val="24"/>
          <w:lang w:eastAsia="es-EC"/>
        </w:rPr>
        <w:fldChar w:fldCharType="separate"/>
      </w:r>
      <w:r w:rsidR="00D96D6E" w:rsidRPr="00686018">
        <w:rPr>
          <w:rFonts w:ascii="Times New Roman" w:hAnsi="Times New Roman" w:cs="Times New Roman"/>
          <w:noProof/>
          <w:sz w:val="24"/>
          <w:lang w:eastAsia="es-EC"/>
        </w:rPr>
        <w:t xml:space="preserve">(Hagos </w:t>
      </w:r>
      <w:r w:rsidR="00C80D09">
        <w:rPr>
          <w:rFonts w:ascii="Times New Roman" w:hAnsi="Times New Roman" w:cs="Times New Roman"/>
          <w:noProof/>
          <w:sz w:val="24"/>
          <w:lang w:eastAsia="es-EC"/>
        </w:rPr>
        <w:t>et al.,</w:t>
      </w:r>
      <w:r w:rsidR="00D96D6E" w:rsidRPr="00686018">
        <w:rPr>
          <w:rFonts w:ascii="Times New Roman" w:hAnsi="Times New Roman" w:cs="Times New Roman"/>
          <w:noProof/>
          <w:sz w:val="24"/>
          <w:lang w:eastAsia="es-EC"/>
        </w:rPr>
        <w:t xml:space="preserve"> 2017)</w:t>
      </w:r>
      <w:r w:rsidR="00D96D6E" w:rsidRPr="00686018">
        <w:rPr>
          <w:rFonts w:ascii="Times New Roman" w:hAnsi="Times New Roman" w:cs="Times New Roman"/>
          <w:sz w:val="24"/>
          <w:lang w:eastAsia="es-EC"/>
        </w:rPr>
        <w:fldChar w:fldCharType="end"/>
      </w:r>
      <w:r w:rsidRPr="00686018">
        <w:rPr>
          <w:rFonts w:ascii="Times New Roman" w:hAnsi="Times New Roman" w:cs="Times New Roman"/>
          <w:sz w:val="24"/>
          <w:lang w:eastAsia="es-EC"/>
        </w:rPr>
        <w:t xml:space="preserve">, según el cual podría no haber existido inhibición debido a la acumulación de AGV que provoquen tal descenso. La razón de que el pH sea parecido en los tres experimentos, es a causa de que la TCO = 18g-SV/L es la misma y no provoca un descenso significativo del pH. </w:t>
      </w:r>
    </w:p>
    <w:p w:rsidR="00DD0237" w:rsidRPr="00686018" w:rsidRDefault="00DD0237" w:rsidP="00A31608">
      <w:pPr>
        <w:pStyle w:val="Descripcin"/>
        <w:jc w:val="both"/>
        <w:rPr>
          <w:rFonts w:ascii="Times New Roman" w:hAnsi="Times New Roman" w:cs="Times New Roman"/>
          <w:i w:val="0"/>
          <w:color w:val="auto"/>
        </w:rPr>
      </w:pPr>
      <w:bookmarkStart w:id="240" w:name="_Toc9537915"/>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12</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Variación del pH durante la codigestión anaerobia al inicio y fin del experimento.</w:t>
      </w:r>
      <w:bookmarkEnd w:id="240"/>
    </w:p>
    <w:tbl>
      <w:tblPr>
        <w:tblW w:w="7934" w:type="dxa"/>
        <w:tblCellMar>
          <w:left w:w="70" w:type="dxa"/>
          <w:right w:w="70" w:type="dxa"/>
        </w:tblCellMar>
        <w:tblLook w:val="04A0" w:firstRow="1" w:lastRow="0" w:firstColumn="1" w:lastColumn="0" w:noHBand="0" w:noVBand="1"/>
      </w:tblPr>
      <w:tblGrid>
        <w:gridCol w:w="1255"/>
        <w:gridCol w:w="1684"/>
        <w:gridCol w:w="1629"/>
        <w:gridCol w:w="1629"/>
        <w:gridCol w:w="1737"/>
      </w:tblGrid>
      <w:tr w:rsidR="00DD0237" w:rsidRPr="00686018" w:rsidTr="007D362B">
        <w:trPr>
          <w:trHeight w:val="237"/>
        </w:trPr>
        <w:tc>
          <w:tcPr>
            <w:tcW w:w="1255" w:type="dxa"/>
            <w:tcBorders>
              <w:top w:val="single" w:sz="4" w:space="0" w:color="auto"/>
              <w:bottom w:val="single" w:sz="4" w:space="0" w:color="auto"/>
            </w:tcBorders>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I:S</w:t>
            </w:r>
          </w:p>
        </w:tc>
        <w:tc>
          <w:tcPr>
            <w:tcW w:w="1684" w:type="dxa"/>
            <w:tcBorders>
              <w:top w:val="single" w:sz="4" w:space="0" w:color="auto"/>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RE:TR</w:t>
            </w:r>
          </w:p>
        </w:tc>
        <w:tc>
          <w:tcPr>
            <w:tcW w:w="1629" w:type="dxa"/>
            <w:tcBorders>
              <w:top w:val="single" w:sz="4" w:space="0" w:color="auto"/>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pH inicial</w:t>
            </w:r>
          </w:p>
        </w:tc>
        <w:tc>
          <w:tcPr>
            <w:tcW w:w="1629" w:type="dxa"/>
            <w:tcBorders>
              <w:top w:val="single" w:sz="4" w:space="0" w:color="auto"/>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pH final</w:t>
            </w:r>
          </w:p>
        </w:tc>
        <w:tc>
          <w:tcPr>
            <w:tcW w:w="1737" w:type="dxa"/>
            <w:tcBorders>
              <w:top w:val="single" w:sz="4" w:space="0" w:color="auto"/>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RME (</w:t>
            </w:r>
            <w:r w:rsidR="00DD14D0">
              <w:rPr>
                <w:rFonts w:ascii="Times New Roman" w:eastAsia="Times New Roman" w:hAnsi="Times New Roman" w:cs="Times New Roman"/>
                <w:b/>
                <w:bCs/>
                <w:sz w:val="18"/>
                <w:szCs w:val="18"/>
                <w:lang w:eastAsia="es-EC"/>
              </w:rPr>
              <w:t>mL</w:t>
            </w:r>
            <w:r w:rsidRPr="00686018">
              <w:rPr>
                <w:rFonts w:ascii="Times New Roman" w:eastAsia="Times New Roman" w:hAnsi="Times New Roman" w:cs="Times New Roman"/>
                <w:b/>
                <w:bCs/>
                <w:sz w:val="18"/>
                <w:szCs w:val="18"/>
                <w:lang w:eastAsia="es-EC"/>
              </w:rPr>
              <w:t>/g-SV)</w:t>
            </w:r>
          </w:p>
        </w:tc>
      </w:tr>
      <w:tr w:rsidR="00DD0237" w:rsidRPr="00686018" w:rsidTr="007D362B">
        <w:trPr>
          <w:trHeight w:val="237"/>
        </w:trPr>
        <w:tc>
          <w:tcPr>
            <w:tcW w:w="1255" w:type="dxa"/>
            <w:vMerge w:val="restart"/>
            <w:tcBorders>
              <w:top w:val="single" w:sz="4" w:space="0" w:color="auto"/>
            </w:tcBorders>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p>
        </w:tc>
        <w:tc>
          <w:tcPr>
            <w:tcW w:w="1684"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629"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7.19 ± 0.14</w:t>
            </w:r>
          </w:p>
        </w:tc>
        <w:tc>
          <w:tcPr>
            <w:tcW w:w="1629"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7.08 ± 0.02</w:t>
            </w:r>
          </w:p>
        </w:tc>
        <w:tc>
          <w:tcPr>
            <w:tcW w:w="1737"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7.30 ± 0.03</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7.14 ± 0.04</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7.34 ± 0.03</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7.15 ± 0.02</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21</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7.37 ± 0.03</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7.18 ± 0.02</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r>
      <w:tr w:rsidR="00DD0237" w:rsidRPr="00686018" w:rsidTr="007D362B">
        <w:trPr>
          <w:trHeight w:val="237"/>
        </w:trPr>
        <w:tc>
          <w:tcPr>
            <w:tcW w:w="1255" w:type="dxa"/>
            <w:vMerge/>
            <w:tcBorders>
              <w:bottom w:val="single" w:sz="4" w:space="0" w:color="auto"/>
            </w:tcBorders>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629"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7.54 ± 0.02</w:t>
            </w:r>
          </w:p>
        </w:tc>
        <w:tc>
          <w:tcPr>
            <w:tcW w:w="1629"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7.15 ± 0.06</w:t>
            </w:r>
          </w:p>
        </w:tc>
        <w:tc>
          <w:tcPr>
            <w:tcW w:w="1737"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r>
      <w:tr w:rsidR="00DD0237" w:rsidRPr="00686018" w:rsidTr="007D362B">
        <w:trPr>
          <w:trHeight w:val="237"/>
        </w:trPr>
        <w:tc>
          <w:tcPr>
            <w:tcW w:w="1255" w:type="dxa"/>
            <w:vMerge w:val="restart"/>
            <w:tcBorders>
              <w:top w:val="single" w:sz="4" w:space="0" w:color="auto"/>
            </w:tcBorders>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p>
        </w:tc>
        <w:tc>
          <w:tcPr>
            <w:tcW w:w="1684"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629"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7.30 ± 0.04</w:t>
            </w:r>
          </w:p>
        </w:tc>
        <w:tc>
          <w:tcPr>
            <w:tcW w:w="1629"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6.98 ± 0.05</w:t>
            </w:r>
          </w:p>
        </w:tc>
        <w:tc>
          <w:tcPr>
            <w:tcW w:w="1737"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7.36 ± 0.06</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7.02 ± 0.03</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63</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7.38 ± 0.06</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7.11 ± 0.03</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7.47 ± 0.04</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7.11 ± 0.02</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w:t>
            </w:r>
          </w:p>
        </w:tc>
      </w:tr>
      <w:tr w:rsidR="00DD0237" w:rsidRPr="00686018" w:rsidTr="007D362B">
        <w:trPr>
          <w:trHeight w:val="237"/>
        </w:trPr>
        <w:tc>
          <w:tcPr>
            <w:tcW w:w="1255" w:type="dxa"/>
            <w:vMerge/>
            <w:tcBorders>
              <w:bottom w:val="single" w:sz="4" w:space="0" w:color="auto"/>
            </w:tcBorders>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629"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7.65 ± 0.03</w:t>
            </w:r>
          </w:p>
        </w:tc>
        <w:tc>
          <w:tcPr>
            <w:tcW w:w="1629"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7.17 ± 0.03</w:t>
            </w:r>
          </w:p>
        </w:tc>
        <w:tc>
          <w:tcPr>
            <w:tcW w:w="1737"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r>
      <w:tr w:rsidR="00DD0237" w:rsidRPr="00686018" w:rsidTr="007D362B">
        <w:trPr>
          <w:trHeight w:val="237"/>
        </w:trPr>
        <w:tc>
          <w:tcPr>
            <w:tcW w:w="1255" w:type="dxa"/>
            <w:vMerge w:val="restart"/>
            <w:tcBorders>
              <w:top w:val="single" w:sz="4" w:space="0" w:color="auto"/>
            </w:tcBorders>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p>
        </w:tc>
        <w:tc>
          <w:tcPr>
            <w:tcW w:w="1684"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629"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7.34 ± 0.08</w:t>
            </w:r>
          </w:p>
        </w:tc>
        <w:tc>
          <w:tcPr>
            <w:tcW w:w="1629"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6.81 ± 0.15</w:t>
            </w:r>
          </w:p>
        </w:tc>
        <w:tc>
          <w:tcPr>
            <w:tcW w:w="1737" w:type="dxa"/>
            <w:tcBorders>
              <w:top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7.81 ± 0.02</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6.93 ± 0.02</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74</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7.76 ± 0.03</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7.01 ± 0.05</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r>
      <w:tr w:rsidR="00DD0237" w:rsidRPr="00686018" w:rsidTr="007D362B">
        <w:trPr>
          <w:trHeight w:val="237"/>
        </w:trPr>
        <w:tc>
          <w:tcPr>
            <w:tcW w:w="1255" w:type="dxa"/>
            <w:vMerge/>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7.76 ± 0.03</w:t>
            </w:r>
          </w:p>
        </w:tc>
        <w:tc>
          <w:tcPr>
            <w:tcW w:w="1629"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7.12 ± 0.02</w:t>
            </w:r>
          </w:p>
        </w:tc>
        <w:tc>
          <w:tcPr>
            <w:tcW w:w="1737" w:type="dxa"/>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w:t>
            </w:r>
          </w:p>
        </w:tc>
      </w:tr>
      <w:tr w:rsidR="00DD0237" w:rsidRPr="00686018" w:rsidTr="007D362B">
        <w:trPr>
          <w:trHeight w:val="237"/>
        </w:trPr>
        <w:tc>
          <w:tcPr>
            <w:tcW w:w="1255" w:type="dxa"/>
            <w:vMerge/>
            <w:tcBorders>
              <w:bottom w:val="single" w:sz="4" w:space="0" w:color="auto"/>
            </w:tcBorders>
            <w:shd w:val="clear" w:color="auto" w:fill="auto"/>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p>
        </w:tc>
        <w:tc>
          <w:tcPr>
            <w:tcW w:w="1684"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629"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7.82 ± 0.05</w:t>
            </w:r>
          </w:p>
        </w:tc>
        <w:tc>
          <w:tcPr>
            <w:tcW w:w="1629"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7.04 ± 0.12</w:t>
            </w:r>
          </w:p>
        </w:tc>
        <w:tc>
          <w:tcPr>
            <w:tcW w:w="1737" w:type="dxa"/>
            <w:tcBorders>
              <w:bottom w:val="single" w:sz="4" w:space="0" w:color="auto"/>
            </w:tcBorders>
            <w:shd w:val="clear" w:color="auto" w:fill="auto"/>
            <w:noWrap/>
            <w:vAlign w:val="center"/>
            <w:hideMark/>
          </w:tcPr>
          <w:p w:rsidR="00DD0237" w:rsidRPr="00686018" w:rsidRDefault="00DD0237"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r>
    </w:tbl>
    <w:p w:rsidR="00DD0237" w:rsidRPr="00686018" w:rsidRDefault="00DD0237"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DD0237" w:rsidRPr="00686018" w:rsidRDefault="00DD0237" w:rsidP="00A31608">
      <w:pPr>
        <w:spacing w:before="360" w:after="360"/>
        <w:jc w:val="both"/>
        <w:rPr>
          <w:rFonts w:ascii="Times New Roman" w:hAnsi="Times New Roman" w:cs="Times New Roman"/>
          <w:sz w:val="24"/>
        </w:rPr>
      </w:pPr>
      <w:r w:rsidRPr="00686018">
        <w:rPr>
          <w:rFonts w:ascii="Times New Roman" w:hAnsi="Times New Roman" w:cs="Times New Roman"/>
          <w:sz w:val="24"/>
        </w:rPr>
        <w:t>El experimento I:S-1:2 genera una cantidad de metano (289.08</w:t>
      </w:r>
      <w:r w:rsidR="00DD14D0">
        <w:rPr>
          <w:rFonts w:ascii="Times New Roman" w:hAnsi="Times New Roman" w:cs="Times New Roman"/>
          <w:sz w:val="24"/>
        </w:rPr>
        <w:t>mL</w:t>
      </w:r>
      <w:r w:rsidRPr="00686018">
        <w:rPr>
          <w:rFonts w:ascii="Times New Roman" w:hAnsi="Times New Roman" w:cs="Times New Roman"/>
          <w:sz w:val="24"/>
        </w:rPr>
        <w:t xml:space="preserve">/g-SV) superior al experimento </w:t>
      </w:r>
      <w:r w:rsidR="006E6F88" w:rsidRPr="00686018">
        <w:rPr>
          <w:rFonts w:ascii="Times New Roman" w:hAnsi="Times New Roman" w:cs="Times New Roman"/>
          <w:sz w:val="24"/>
        </w:rPr>
        <w:t>I:S-</w:t>
      </w:r>
      <w:r w:rsidRPr="00686018">
        <w:rPr>
          <w:rFonts w:ascii="Times New Roman" w:hAnsi="Times New Roman" w:cs="Times New Roman"/>
          <w:sz w:val="24"/>
        </w:rPr>
        <w:t>1:1 (272.84</w:t>
      </w:r>
      <w:r w:rsidR="00DD14D0">
        <w:rPr>
          <w:rFonts w:ascii="Times New Roman" w:hAnsi="Times New Roman" w:cs="Times New Roman"/>
          <w:sz w:val="24"/>
        </w:rPr>
        <w:t>mL</w:t>
      </w:r>
      <w:r w:rsidRPr="00686018">
        <w:rPr>
          <w:rFonts w:ascii="Times New Roman" w:hAnsi="Times New Roman" w:cs="Times New Roman"/>
          <w:sz w:val="24"/>
        </w:rPr>
        <w:t>/g-SV) y ligeramente inferior al experimento 2:1 (306.21</w:t>
      </w:r>
      <w:r w:rsidR="00DD14D0">
        <w:rPr>
          <w:rFonts w:ascii="Times New Roman" w:hAnsi="Times New Roman" w:cs="Times New Roman"/>
          <w:sz w:val="24"/>
        </w:rPr>
        <w:t>mL</w:t>
      </w:r>
      <w:r w:rsidRPr="00686018">
        <w:rPr>
          <w:rFonts w:ascii="Times New Roman" w:hAnsi="Times New Roman" w:cs="Times New Roman"/>
          <w:sz w:val="24"/>
        </w:rPr>
        <w:t xml:space="preserve">/g-SV), no </w:t>
      </w:r>
      <w:r w:rsidR="006E6F88" w:rsidRPr="00686018">
        <w:rPr>
          <w:rFonts w:ascii="Times New Roman" w:hAnsi="Times New Roman" w:cs="Times New Roman"/>
          <w:sz w:val="24"/>
        </w:rPr>
        <w:t>obstante</w:t>
      </w:r>
      <w:r w:rsidRPr="00686018">
        <w:rPr>
          <w:rFonts w:ascii="Times New Roman" w:hAnsi="Times New Roman" w:cs="Times New Roman"/>
          <w:sz w:val="24"/>
        </w:rPr>
        <w:t xml:space="preserve"> tener una cantidad de inóculo 2 veces menor y una cantidad de sustrato 2 veces mayor a </w:t>
      </w:r>
      <w:r w:rsidR="006E6F88" w:rsidRPr="00686018">
        <w:rPr>
          <w:rFonts w:ascii="Times New Roman" w:hAnsi="Times New Roman" w:cs="Times New Roman"/>
          <w:sz w:val="24"/>
        </w:rPr>
        <w:t>I:S-</w:t>
      </w:r>
      <w:r w:rsidRPr="00686018">
        <w:rPr>
          <w:rFonts w:ascii="Times New Roman" w:hAnsi="Times New Roman" w:cs="Times New Roman"/>
          <w:sz w:val="24"/>
        </w:rPr>
        <w:t>2:1</w:t>
      </w:r>
      <w:r w:rsidR="006E6F88" w:rsidRPr="00686018">
        <w:rPr>
          <w:rFonts w:ascii="Times New Roman" w:hAnsi="Times New Roman" w:cs="Times New Roman"/>
          <w:sz w:val="24"/>
        </w:rPr>
        <w:t xml:space="preserve">. La tabla 12 indica que el pH inicial óptimo para maximizar el RMA es de 7.34, una cantidad inferior de inóculo provoca el ascenso del pH llevando al digestor a un medio que tiende a la alcalinidad (7.76); esto afectó el RMA. Los </w:t>
      </w:r>
      <w:r w:rsidR="00312966" w:rsidRPr="00686018">
        <w:rPr>
          <w:rFonts w:ascii="Times New Roman" w:hAnsi="Times New Roman" w:cs="Times New Roman"/>
          <w:sz w:val="24"/>
        </w:rPr>
        <w:t>niveles de pH inicial y final pertenecientes al experimento I:S – 2:1 son adecuado para aumentar el RMA.</w:t>
      </w:r>
    </w:p>
    <w:p w:rsidR="00406098" w:rsidRPr="00686018" w:rsidRDefault="00F822AD" w:rsidP="00A31608">
      <w:pPr>
        <w:pStyle w:val="Ttulo3"/>
        <w:numPr>
          <w:ilvl w:val="1"/>
          <w:numId w:val="4"/>
        </w:numPr>
        <w:ind w:left="431" w:hanging="431"/>
        <w:jc w:val="both"/>
        <w:rPr>
          <w:rFonts w:ascii="Times New Roman" w:hAnsi="Times New Roman" w:cs="Times New Roman"/>
          <w:i w:val="0"/>
          <w:lang w:eastAsia="es-EC"/>
        </w:rPr>
      </w:pPr>
      <w:bookmarkStart w:id="241" w:name="_Toc9537850"/>
      <w:r w:rsidRPr="00686018">
        <w:rPr>
          <w:rFonts w:ascii="Times New Roman" w:hAnsi="Times New Roman" w:cs="Times New Roman"/>
          <w:i w:val="0"/>
          <w:lang w:eastAsia="es-EC"/>
        </w:rPr>
        <w:t xml:space="preserve">Efecto de la relación C/N </w:t>
      </w:r>
      <w:r w:rsidR="00AE04CC" w:rsidRPr="00686018">
        <w:rPr>
          <w:rFonts w:ascii="Times New Roman" w:hAnsi="Times New Roman" w:cs="Times New Roman"/>
          <w:i w:val="0"/>
          <w:lang w:eastAsia="es-EC"/>
        </w:rPr>
        <w:t>en la producción de metano</w:t>
      </w:r>
      <w:r w:rsidRPr="00686018">
        <w:rPr>
          <w:rFonts w:ascii="Times New Roman" w:hAnsi="Times New Roman" w:cs="Times New Roman"/>
          <w:i w:val="0"/>
          <w:lang w:eastAsia="es-EC"/>
        </w:rPr>
        <w:t>.</w:t>
      </w:r>
      <w:bookmarkEnd w:id="241"/>
    </w:p>
    <w:p w:rsidR="0000621F" w:rsidRPr="00686018" w:rsidRDefault="00D31F56"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La razón C/N de RE y TR fue</w:t>
      </w:r>
      <w:r w:rsidR="00312966" w:rsidRPr="00686018">
        <w:rPr>
          <w:rFonts w:ascii="Times New Roman" w:hAnsi="Times New Roman" w:cs="Times New Roman"/>
          <w:sz w:val="24"/>
          <w:lang w:eastAsia="es-EC"/>
        </w:rPr>
        <w:t xml:space="preserve"> 12.93</w:t>
      </w:r>
      <w:r w:rsidR="00DD0237" w:rsidRPr="00686018">
        <w:rPr>
          <w:rFonts w:ascii="Times New Roman" w:hAnsi="Times New Roman" w:cs="Times New Roman"/>
          <w:sz w:val="24"/>
          <w:lang w:eastAsia="es-EC"/>
        </w:rPr>
        <w:t xml:space="preserve"> y 100.99</w:t>
      </w:r>
      <w:r w:rsidRPr="00686018">
        <w:rPr>
          <w:rFonts w:ascii="Times New Roman" w:hAnsi="Times New Roman" w:cs="Times New Roman"/>
          <w:sz w:val="24"/>
          <w:lang w:eastAsia="es-EC"/>
        </w:rPr>
        <w:t xml:space="preserve"> respectivamente. Existe, por tanto, un rango de razones C/N para el cual el RME es el máximo. La </w:t>
      </w:r>
      <w:r w:rsidRPr="00686018">
        <w:rPr>
          <w:rFonts w:ascii="Times New Roman" w:hAnsi="Times New Roman" w:cs="Times New Roman"/>
          <w:b/>
          <w:sz w:val="24"/>
          <w:lang w:eastAsia="es-EC"/>
        </w:rPr>
        <w:t xml:space="preserve">tabla </w:t>
      </w:r>
      <w:r w:rsidR="00DD0237" w:rsidRPr="00686018">
        <w:rPr>
          <w:rFonts w:ascii="Times New Roman" w:hAnsi="Times New Roman" w:cs="Times New Roman"/>
          <w:b/>
          <w:sz w:val="24"/>
          <w:lang w:eastAsia="es-EC"/>
        </w:rPr>
        <w:t>13</w:t>
      </w:r>
      <w:r w:rsidRPr="00686018">
        <w:rPr>
          <w:rFonts w:ascii="Times New Roman" w:hAnsi="Times New Roman" w:cs="Times New Roman"/>
          <w:sz w:val="24"/>
          <w:lang w:eastAsia="es-EC"/>
        </w:rPr>
        <w:t xml:space="preserve">, presenta la variación </w:t>
      </w:r>
      <w:r w:rsidR="00C71892" w:rsidRPr="00686018">
        <w:rPr>
          <w:rFonts w:ascii="Times New Roman" w:hAnsi="Times New Roman" w:cs="Times New Roman"/>
          <w:sz w:val="24"/>
          <w:lang w:eastAsia="es-EC"/>
        </w:rPr>
        <w:t xml:space="preserve">y efecto </w:t>
      </w:r>
      <w:r w:rsidRPr="00686018">
        <w:rPr>
          <w:rFonts w:ascii="Times New Roman" w:hAnsi="Times New Roman" w:cs="Times New Roman"/>
          <w:sz w:val="24"/>
          <w:lang w:eastAsia="es-EC"/>
        </w:rPr>
        <w:t xml:space="preserve">de la razón C/N ocurrida durante la codigestión de RE y TR en fracciones </w:t>
      </w:r>
      <w:r w:rsidR="00C71892" w:rsidRPr="00686018">
        <w:rPr>
          <w:rFonts w:ascii="Times New Roman" w:hAnsi="Times New Roman" w:cs="Times New Roman"/>
          <w:sz w:val="24"/>
          <w:lang w:eastAsia="es-EC"/>
        </w:rPr>
        <w:t>diferentes, sobre el RMA</w:t>
      </w:r>
      <w:r w:rsidRPr="00686018">
        <w:rPr>
          <w:rFonts w:ascii="Times New Roman" w:hAnsi="Times New Roman" w:cs="Times New Roman"/>
          <w:lang w:eastAsia="es-EC"/>
        </w:rPr>
        <w:t xml:space="preserve">. </w:t>
      </w:r>
      <w:r w:rsidRPr="00686018">
        <w:rPr>
          <w:rFonts w:ascii="Times New Roman" w:hAnsi="Times New Roman" w:cs="Times New Roman"/>
          <w:sz w:val="24"/>
          <w:lang w:eastAsia="es-EC"/>
        </w:rPr>
        <w:t>Se pue</w:t>
      </w:r>
      <w:r w:rsidR="00C71892" w:rsidRPr="00686018">
        <w:rPr>
          <w:rFonts w:ascii="Times New Roman" w:hAnsi="Times New Roman" w:cs="Times New Roman"/>
          <w:sz w:val="24"/>
          <w:lang w:eastAsia="es-EC"/>
        </w:rPr>
        <w:t>de</w:t>
      </w:r>
      <w:r w:rsidRPr="00686018">
        <w:rPr>
          <w:rFonts w:ascii="Times New Roman" w:hAnsi="Times New Roman" w:cs="Times New Roman"/>
          <w:sz w:val="24"/>
          <w:lang w:eastAsia="es-EC"/>
        </w:rPr>
        <w:t xml:space="preserve"> observar que el RME llega a un máximo de </w:t>
      </w:r>
      <w:r w:rsidR="00123A60" w:rsidRPr="00686018">
        <w:rPr>
          <w:rFonts w:ascii="Times New Roman" w:hAnsi="Times New Roman" w:cs="Times New Roman"/>
          <w:sz w:val="24"/>
          <w:lang w:eastAsia="es-EC"/>
        </w:rPr>
        <w:t>306.</w:t>
      </w:r>
      <w:r w:rsidR="00766DD6" w:rsidRPr="00686018">
        <w:rPr>
          <w:rFonts w:ascii="Times New Roman" w:hAnsi="Times New Roman" w:cs="Times New Roman"/>
          <w:sz w:val="24"/>
          <w:lang w:eastAsia="es-EC"/>
        </w:rPr>
        <w:t>21</w:t>
      </w:r>
      <w:r w:rsidR="00123A60" w:rsidRPr="00686018">
        <w:rPr>
          <w:rFonts w:ascii="Times New Roman" w:hAnsi="Times New Roman" w:cs="Times New Roman"/>
          <w:sz w:val="24"/>
          <w:lang w:eastAsia="es-EC"/>
        </w:rPr>
        <w:t>, 272.</w:t>
      </w:r>
      <w:r w:rsidR="00C44C20">
        <w:rPr>
          <w:rFonts w:ascii="Times New Roman" w:hAnsi="Times New Roman" w:cs="Times New Roman"/>
          <w:sz w:val="24"/>
          <w:lang w:eastAsia="es-EC"/>
        </w:rPr>
        <w:t>84 y 289.08</w:t>
      </w:r>
      <w:r w:rsidR="00DD14D0">
        <w:rPr>
          <w:rFonts w:ascii="Times New Roman" w:eastAsia="Times New Roman" w:hAnsi="Times New Roman" w:cs="Times New Roman"/>
          <w:bCs/>
          <w:sz w:val="24"/>
          <w:lang w:eastAsia="es-EC"/>
        </w:rPr>
        <w:t>mL</w:t>
      </w:r>
      <w:r w:rsidR="00C71892" w:rsidRPr="00686018">
        <w:rPr>
          <w:rFonts w:ascii="Times New Roman" w:eastAsia="Times New Roman" w:hAnsi="Times New Roman" w:cs="Times New Roman"/>
          <w:bCs/>
          <w:sz w:val="24"/>
          <w:lang w:eastAsia="es-EC"/>
        </w:rPr>
        <w:t>/g-SV</w:t>
      </w:r>
      <w:r w:rsidRPr="00686018">
        <w:rPr>
          <w:rFonts w:ascii="Times New Roman" w:hAnsi="Times New Roman" w:cs="Times New Roman"/>
          <w:sz w:val="24"/>
          <w:lang w:eastAsia="es-EC"/>
        </w:rPr>
        <w:t xml:space="preserve"> cuando C/N</w:t>
      </w:r>
      <w:r w:rsidR="00C71892" w:rsidRPr="00686018">
        <w:rPr>
          <w:rFonts w:ascii="Times New Roman" w:hAnsi="Times New Roman" w:cs="Times New Roman"/>
          <w:sz w:val="24"/>
          <w:lang w:eastAsia="es-EC"/>
        </w:rPr>
        <w:t xml:space="preserve"> es 23.26, 38.15 y 38.15 respectivamente. </w:t>
      </w:r>
    </w:p>
    <w:p w:rsidR="00012CAC" w:rsidRPr="00686018" w:rsidRDefault="0000621F"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Añadir más inoculo (I:S – 2:1) favorece el RMA como es de esperarse y las relaciones C/N inferiores a 23.26 proveen mayor concentración de metano a los 40 días de digestión; esto podría ser debido a la </w:t>
      </w:r>
      <w:r w:rsidR="00C92DB5" w:rsidRPr="00686018">
        <w:rPr>
          <w:rFonts w:ascii="Times New Roman" w:hAnsi="Times New Roman" w:cs="Times New Roman"/>
          <w:sz w:val="24"/>
          <w:lang w:eastAsia="es-EC"/>
        </w:rPr>
        <w:t xml:space="preserve">baja razón </w:t>
      </w:r>
      <w:r w:rsidRPr="00686018">
        <w:rPr>
          <w:rFonts w:ascii="Times New Roman" w:hAnsi="Times New Roman" w:cs="Times New Roman"/>
          <w:sz w:val="24"/>
          <w:lang w:eastAsia="es-EC"/>
        </w:rPr>
        <w:t>C/N del inocuo</w:t>
      </w:r>
      <w:r w:rsidR="00CC5E9A" w:rsidRPr="00686018">
        <w:rPr>
          <w:rFonts w:ascii="Times New Roman" w:hAnsi="Times New Roman" w:cs="Times New Roman"/>
          <w:sz w:val="24"/>
          <w:lang w:eastAsia="es-EC"/>
        </w:rPr>
        <w:t xml:space="preserve"> (7.46)</w:t>
      </w:r>
      <w:r w:rsidRPr="00686018">
        <w:rPr>
          <w:rFonts w:ascii="Times New Roman" w:hAnsi="Times New Roman" w:cs="Times New Roman"/>
          <w:sz w:val="24"/>
          <w:lang w:eastAsia="es-EC"/>
        </w:rPr>
        <w:t xml:space="preserve"> </w:t>
      </w:r>
      <w:r w:rsidR="00C92DB5" w:rsidRPr="00686018">
        <w:rPr>
          <w:rFonts w:ascii="Times New Roman" w:hAnsi="Times New Roman" w:cs="Times New Roman"/>
          <w:sz w:val="24"/>
          <w:lang w:eastAsia="es-EC"/>
        </w:rPr>
        <w:t xml:space="preserve">lo que genera un medio </w:t>
      </w:r>
      <w:r w:rsidRPr="00686018">
        <w:rPr>
          <w:rFonts w:ascii="Times New Roman" w:hAnsi="Times New Roman" w:cs="Times New Roman"/>
          <w:sz w:val="24"/>
          <w:lang w:eastAsia="es-EC"/>
        </w:rPr>
        <w:t xml:space="preserve">adicional </w:t>
      </w:r>
      <w:r w:rsidR="00C92DB5" w:rsidRPr="00686018">
        <w:rPr>
          <w:rFonts w:ascii="Times New Roman" w:hAnsi="Times New Roman" w:cs="Times New Roman"/>
          <w:sz w:val="24"/>
          <w:lang w:eastAsia="es-EC"/>
        </w:rPr>
        <w:t>con un</w:t>
      </w:r>
      <w:r w:rsidRPr="00686018">
        <w:rPr>
          <w:rFonts w:ascii="Times New Roman" w:hAnsi="Times New Roman" w:cs="Times New Roman"/>
          <w:sz w:val="24"/>
          <w:lang w:eastAsia="es-EC"/>
        </w:rPr>
        <w:t xml:space="preserve"> balance de nutrientes </w:t>
      </w:r>
      <w:r w:rsidR="00C92DB5" w:rsidRPr="00686018">
        <w:rPr>
          <w:rFonts w:ascii="Times New Roman" w:hAnsi="Times New Roman" w:cs="Times New Roman"/>
          <w:sz w:val="24"/>
          <w:lang w:eastAsia="es-EC"/>
        </w:rPr>
        <w:t xml:space="preserve">optimo </w:t>
      </w:r>
      <w:r w:rsidRPr="00686018">
        <w:rPr>
          <w:rFonts w:ascii="Times New Roman" w:hAnsi="Times New Roman" w:cs="Times New Roman"/>
          <w:sz w:val="24"/>
          <w:lang w:eastAsia="es-EC"/>
        </w:rPr>
        <w:t xml:space="preserve">y por tanto </w:t>
      </w:r>
      <w:r w:rsidR="00C92DB5" w:rsidRPr="00686018">
        <w:rPr>
          <w:rFonts w:ascii="Times New Roman" w:hAnsi="Times New Roman" w:cs="Times New Roman"/>
          <w:sz w:val="24"/>
          <w:lang w:eastAsia="es-EC"/>
        </w:rPr>
        <w:t>una</w:t>
      </w:r>
      <w:r w:rsidRPr="00686018">
        <w:rPr>
          <w:rFonts w:ascii="Times New Roman" w:hAnsi="Times New Roman" w:cs="Times New Roman"/>
          <w:sz w:val="24"/>
          <w:lang w:eastAsia="es-EC"/>
        </w:rPr>
        <w:t xml:space="preserve"> concentración </w:t>
      </w:r>
      <w:r w:rsidR="00C92DB5" w:rsidRPr="00686018">
        <w:rPr>
          <w:rFonts w:ascii="Times New Roman" w:hAnsi="Times New Roman" w:cs="Times New Roman"/>
          <w:sz w:val="24"/>
          <w:lang w:eastAsia="es-EC"/>
        </w:rPr>
        <w:t xml:space="preserve">más alta </w:t>
      </w:r>
      <w:r w:rsidRPr="00686018">
        <w:rPr>
          <w:rFonts w:ascii="Times New Roman" w:hAnsi="Times New Roman" w:cs="Times New Roman"/>
          <w:sz w:val="24"/>
          <w:lang w:eastAsia="es-EC"/>
        </w:rPr>
        <w:t>de metano.</w:t>
      </w:r>
      <w:r w:rsidR="00C92DB5" w:rsidRPr="00686018">
        <w:rPr>
          <w:rFonts w:ascii="Times New Roman" w:hAnsi="Times New Roman" w:cs="Times New Roman"/>
          <w:sz w:val="24"/>
          <w:lang w:eastAsia="es-EC"/>
        </w:rPr>
        <w:t xml:space="preserve"> Cuando la cantidad de inoculo desciende hasta el 50</w:t>
      </w:r>
      <w:r w:rsidR="00012CAC" w:rsidRPr="00686018">
        <w:rPr>
          <w:rFonts w:ascii="Times New Roman" w:hAnsi="Times New Roman" w:cs="Times New Roman"/>
          <w:sz w:val="24"/>
          <w:lang w:eastAsia="es-EC"/>
        </w:rPr>
        <w:t>% (I:S – 1:1) o concentraciones menores (I:S – 1:2), la tabla 13 reve</w:t>
      </w:r>
      <w:r w:rsidR="00C92DB5" w:rsidRPr="00686018">
        <w:rPr>
          <w:rFonts w:ascii="Times New Roman" w:hAnsi="Times New Roman" w:cs="Times New Roman"/>
          <w:sz w:val="24"/>
          <w:lang w:eastAsia="es-EC"/>
        </w:rPr>
        <w:t>la que una relación C/N de 38.15 es óptima para la codigestión de RE y TR a una razón de 3:1</w:t>
      </w:r>
      <w:r w:rsidR="00012CAC" w:rsidRPr="00686018">
        <w:rPr>
          <w:rFonts w:ascii="Times New Roman" w:hAnsi="Times New Roman" w:cs="Times New Roman"/>
          <w:sz w:val="24"/>
          <w:lang w:eastAsia="es-EC"/>
        </w:rPr>
        <w:t>; la tendencia es, por tanto, disminuir la cantidad de inóculo y mantener la razón C/N en 38.15 para maximizar el RMA.</w:t>
      </w:r>
    </w:p>
    <w:p w:rsidR="00AE04CC" w:rsidRPr="00686018" w:rsidRDefault="00AE04CC" w:rsidP="00A31608">
      <w:pPr>
        <w:pStyle w:val="Descripcin"/>
        <w:jc w:val="both"/>
        <w:rPr>
          <w:rFonts w:ascii="Times New Roman" w:hAnsi="Times New Roman" w:cs="Times New Roman"/>
          <w:i w:val="0"/>
          <w:color w:val="auto"/>
          <w:lang w:eastAsia="es-EC"/>
        </w:rPr>
      </w:pPr>
      <w:bookmarkStart w:id="242" w:name="_Toc9537916"/>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13</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Variación de la relación C/N ocurrida durante la codigestión de RE y TR.</w:t>
      </w:r>
      <w:bookmarkEnd w:id="242"/>
    </w:p>
    <w:tbl>
      <w:tblPr>
        <w:tblW w:w="7961" w:type="dxa"/>
        <w:jc w:val="center"/>
        <w:tblCellMar>
          <w:left w:w="70" w:type="dxa"/>
          <w:right w:w="70" w:type="dxa"/>
        </w:tblCellMar>
        <w:tblLook w:val="04A0" w:firstRow="1" w:lastRow="0" w:firstColumn="1" w:lastColumn="0" w:noHBand="0" w:noVBand="1"/>
      </w:tblPr>
      <w:tblGrid>
        <w:gridCol w:w="1694"/>
        <w:gridCol w:w="1919"/>
        <w:gridCol w:w="2174"/>
        <w:gridCol w:w="2174"/>
      </w:tblGrid>
      <w:tr w:rsidR="00AE04CC" w:rsidRPr="00686018" w:rsidTr="007D362B">
        <w:trPr>
          <w:trHeight w:val="258"/>
          <w:jc w:val="center"/>
        </w:trPr>
        <w:tc>
          <w:tcPr>
            <w:tcW w:w="1694" w:type="dxa"/>
            <w:tcBorders>
              <w:top w:val="single" w:sz="4" w:space="0" w:color="auto"/>
              <w:bottom w:val="single" w:sz="4" w:space="0" w:color="auto"/>
            </w:tcBorders>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I:S</w:t>
            </w:r>
          </w:p>
        </w:tc>
        <w:tc>
          <w:tcPr>
            <w:tcW w:w="1919" w:type="dxa"/>
            <w:tcBorders>
              <w:top w:val="single" w:sz="4" w:space="0" w:color="auto"/>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RE:TR</w:t>
            </w:r>
          </w:p>
        </w:tc>
        <w:tc>
          <w:tcPr>
            <w:tcW w:w="2174" w:type="dxa"/>
            <w:tcBorders>
              <w:top w:val="single" w:sz="4" w:space="0" w:color="auto"/>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C/N</w:t>
            </w:r>
          </w:p>
        </w:tc>
        <w:tc>
          <w:tcPr>
            <w:tcW w:w="2174" w:type="dxa"/>
            <w:tcBorders>
              <w:top w:val="single" w:sz="4" w:space="0" w:color="auto"/>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RME (</w:t>
            </w:r>
            <w:r w:rsidR="00DD14D0">
              <w:rPr>
                <w:rFonts w:ascii="Times New Roman" w:eastAsia="Times New Roman" w:hAnsi="Times New Roman" w:cs="Times New Roman"/>
                <w:b/>
                <w:bCs/>
                <w:sz w:val="18"/>
                <w:szCs w:val="18"/>
                <w:lang w:eastAsia="es-EC"/>
              </w:rPr>
              <w:t>mL</w:t>
            </w:r>
            <w:r w:rsidRPr="00686018">
              <w:rPr>
                <w:rFonts w:ascii="Times New Roman" w:eastAsia="Times New Roman" w:hAnsi="Times New Roman" w:cs="Times New Roman"/>
                <w:b/>
                <w:bCs/>
                <w:sz w:val="18"/>
                <w:szCs w:val="18"/>
                <w:lang w:eastAsia="es-EC"/>
              </w:rPr>
              <w:t>/g-SV)</w:t>
            </w:r>
          </w:p>
        </w:tc>
      </w:tr>
      <w:tr w:rsidR="00AE04CC" w:rsidRPr="00686018" w:rsidTr="007D362B">
        <w:trPr>
          <w:trHeight w:val="258"/>
          <w:jc w:val="center"/>
        </w:trPr>
        <w:tc>
          <w:tcPr>
            <w:tcW w:w="1694" w:type="dxa"/>
            <w:vMerge w:val="restart"/>
            <w:tcBorders>
              <w:top w:val="single" w:sz="4" w:space="0" w:color="auto"/>
            </w:tcBorders>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p>
        </w:tc>
        <w:tc>
          <w:tcPr>
            <w:tcW w:w="1919" w:type="dxa"/>
            <w:tcBorders>
              <w:top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2174" w:type="dxa"/>
            <w:tcBorders>
              <w:top w:val="single" w:sz="4" w:space="0" w:color="auto"/>
            </w:tcBorders>
            <w:shd w:val="clear" w:color="auto" w:fill="auto"/>
            <w:noWrap/>
            <w:vAlign w:val="center"/>
            <w:hideMark/>
          </w:tcPr>
          <w:p w:rsidR="00AE04CC" w:rsidRPr="00686018" w:rsidRDefault="00B978E4"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93</w:t>
            </w:r>
          </w:p>
        </w:tc>
        <w:tc>
          <w:tcPr>
            <w:tcW w:w="2174" w:type="dxa"/>
            <w:tcBorders>
              <w:top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65</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26</w:t>
            </w:r>
          </w:p>
        </w:tc>
        <w:tc>
          <w:tcPr>
            <w:tcW w:w="2174" w:type="dxa"/>
            <w:shd w:val="clear" w:color="auto" w:fill="auto"/>
            <w:noWrap/>
            <w:vAlign w:val="center"/>
            <w:hideMark/>
          </w:tcPr>
          <w:p w:rsidR="00AE04CC" w:rsidRPr="00686018" w:rsidRDefault="00766DD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21</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15</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r>
      <w:tr w:rsidR="00AE04CC" w:rsidRPr="00686018" w:rsidTr="007D362B">
        <w:trPr>
          <w:trHeight w:val="258"/>
          <w:jc w:val="center"/>
        </w:trPr>
        <w:tc>
          <w:tcPr>
            <w:tcW w:w="1694" w:type="dxa"/>
            <w:vMerge/>
            <w:tcBorders>
              <w:bottom w:val="single" w:sz="4" w:space="0" w:color="auto"/>
            </w:tcBorders>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tcBorders>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2174" w:type="dxa"/>
            <w:tcBorders>
              <w:bottom w:val="single" w:sz="4" w:space="0" w:color="auto"/>
            </w:tcBorders>
            <w:shd w:val="clear" w:color="auto" w:fill="auto"/>
            <w:noWrap/>
            <w:vAlign w:val="center"/>
            <w:hideMark/>
          </w:tcPr>
          <w:p w:rsidR="00AE04CC" w:rsidRPr="00686018" w:rsidRDefault="00B978E4"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100.99</w:t>
            </w:r>
          </w:p>
        </w:tc>
        <w:tc>
          <w:tcPr>
            <w:tcW w:w="2174" w:type="dxa"/>
            <w:tcBorders>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r>
      <w:tr w:rsidR="00AE04CC" w:rsidRPr="00686018" w:rsidTr="007D362B">
        <w:trPr>
          <w:trHeight w:val="258"/>
          <w:jc w:val="center"/>
        </w:trPr>
        <w:tc>
          <w:tcPr>
            <w:tcW w:w="1694" w:type="dxa"/>
            <w:vMerge w:val="restart"/>
            <w:tcBorders>
              <w:top w:val="single" w:sz="4" w:space="0" w:color="auto"/>
            </w:tcBorders>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p>
        </w:tc>
        <w:tc>
          <w:tcPr>
            <w:tcW w:w="1919" w:type="dxa"/>
            <w:tcBorders>
              <w:top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2174" w:type="dxa"/>
            <w:tcBorders>
              <w:top w:val="single" w:sz="4" w:space="0" w:color="auto"/>
            </w:tcBorders>
            <w:shd w:val="clear" w:color="auto" w:fill="auto"/>
            <w:noWrap/>
            <w:vAlign w:val="center"/>
            <w:hideMark/>
          </w:tcPr>
          <w:p w:rsidR="00AE04CC" w:rsidRPr="00686018" w:rsidRDefault="00B978E4"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93</w:t>
            </w:r>
          </w:p>
        </w:tc>
        <w:tc>
          <w:tcPr>
            <w:tcW w:w="2174" w:type="dxa"/>
            <w:tcBorders>
              <w:top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65</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63</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26</w:t>
            </w:r>
          </w:p>
        </w:tc>
        <w:tc>
          <w:tcPr>
            <w:tcW w:w="2174" w:type="dxa"/>
            <w:shd w:val="clear" w:color="auto" w:fill="auto"/>
            <w:noWrap/>
            <w:vAlign w:val="center"/>
            <w:hideMark/>
          </w:tcPr>
          <w:p w:rsidR="00AE04CC" w:rsidRPr="00686018" w:rsidRDefault="00766DD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15</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w:t>
            </w:r>
          </w:p>
        </w:tc>
      </w:tr>
      <w:tr w:rsidR="00AE04CC" w:rsidRPr="00686018" w:rsidTr="007D362B">
        <w:trPr>
          <w:trHeight w:val="258"/>
          <w:jc w:val="center"/>
        </w:trPr>
        <w:tc>
          <w:tcPr>
            <w:tcW w:w="1694" w:type="dxa"/>
            <w:vMerge/>
            <w:tcBorders>
              <w:bottom w:val="single" w:sz="4" w:space="0" w:color="auto"/>
            </w:tcBorders>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tcBorders>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2174" w:type="dxa"/>
            <w:tcBorders>
              <w:bottom w:val="single" w:sz="4" w:space="0" w:color="auto"/>
            </w:tcBorders>
            <w:shd w:val="clear" w:color="auto" w:fill="auto"/>
            <w:noWrap/>
            <w:vAlign w:val="center"/>
            <w:hideMark/>
          </w:tcPr>
          <w:p w:rsidR="00AE04CC" w:rsidRPr="00686018" w:rsidRDefault="00B978E4"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100.99</w:t>
            </w:r>
          </w:p>
        </w:tc>
        <w:tc>
          <w:tcPr>
            <w:tcW w:w="2174" w:type="dxa"/>
            <w:tcBorders>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r>
      <w:tr w:rsidR="00AE04CC" w:rsidRPr="00686018" w:rsidTr="007D362B">
        <w:trPr>
          <w:trHeight w:val="258"/>
          <w:jc w:val="center"/>
        </w:trPr>
        <w:tc>
          <w:tcPr>
            <w:tcW w:w="1694" w:type="dxa"/>
            <w:vMerge w:val="restart"/>
            <w:tcBorders>
              <w:top w:val="single" w:sz="4" w:space="0" w:color="auto"/>
            </w:tcBorders>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lastRenderedPageBreak/>
              <w:t>1:2</w:t>
            </w:r>
          </w:p>
        </w:tc>
        <w:tc>
          <w:tcPr>
            <w:tcW w:w="1919" w:type="dxa"/>
            <w:tcBorders>
              <w:top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2174" w:type="dxa"/>
            <w:tcBorders>
              <w:top w:val="single" w:sz="4" w:space="0" w:color="auto"/>
            </w:tcBorders>
            <w:shd w:val="clear" w:color="auto" w:fill="auto"/>
            <w:noWrap/>
            <w:vAlign w:val="center"/>
            <w:hideMark/>
          </w:tcPr>
          <w:p w:rsidR="00AE04CC" w:rsidRPr="00686018" w:rsidRDefault="00B978E4"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93</w:t>
            </w:r>
          </w:p>
        </w:tc>
        <w:tc>
          <w:tcPr>
            <w:tcW w:w="2174" w:type="dxa"/>
            <w:tcBorders>
              <w:top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65</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74</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26</w:t>
            </w:r>
          </w:p>
        </w:tc>
        <w:tc>
          <w:tcPr>
            <w:tcW w:w="2174" w:type="dxa"/>
            <w:shd w:val="clear" w:color="auto" w:fill="auto"/>
            <w:noWrap/>
            <w:vAlign w:val="center"/>
            <w:hideMark/>
          </w:tcPr>
          <w:p w:rsidR="00AE04CC" w:rsidRPr="00686018" w:rsidRDefault="00766DD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r>
      <w:tr w:rsidR="00AE04CC" w:rsidRPr="00686018" w:rsidTr="007D362B">
        <w:trPr>
          <w:trHeight w:val="258"/>
          <w:jc w:val="center"/>
        </w:trPr>
        <w:tc>
          <w:tcPr>
            <w:tcW w:w="1694" w:type="dxa"/>
            <w:vMerge/>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15</w:t>
            </w:r>
          </w:p>
        </w:tc>
        <w:tc>
          <w:tcPr>
            <w:tcW w:w="2174" w:type="dxa"/>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w:t>
            </w:r>
          </w:p>
        </w:tc>
      </w:tr>
      <w:tr w:rsidR="00AE04CC" w:rsidRPr="00686018" w:rsidTr="007D362B">
        <w:trPr>
          <w:trHeight w:val="258"/>
          <w:jc w:val="center"/>
        </w:trPr>
        <w:tc>
          <w:tcPr>
            <w:tcW w:w="1694" w:type="dxa"/>
            <w:vMerge/>
            <w:tcBorders>
              <w:bottom w:val="single" w:sz="4" w:space="0" w:color="auto"/>
            </w:tcBorders>
            <w:shd w:val="clear" w:color="auto" w:fill="auto"/>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p>
        </w:tc>
        <w:tc>
          <w:tcPr>
            <w:tcW w:w="1919" w:type="dxa"/>
            <w:tcBorders>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2174" w:type="dxa"/>
            <w:tcBorders>
              <w:bottom w:val="single" w:sz="4" w:space="0" w:color="auto"/>
            </w:tcBorders>
            <w:shd w:val="clear" w:color="auto" w:fill="auto"/>
            <w:noWrap/>
            <w:vAlign w:val="center"/>
            <w:hideMark/>
          </w:tcPr>
          <w:p w:rsidR="00AE04CC" w:rsidRPr="00686018" w:rsidRDefault="00B978E4"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100.99</w:t>
            </w:r>
          </w:p>
        </w:tc>
        <w:tc>
          <w:tcPr>
            <w:tcW w:w="2174" w:type="dxa"/>
            <w:tcBorders>
              <w:bottom w:val="single" w:sz="4" w:space="0" w:color="auto"/>
            </w:tcBorders>
            <w:shd w:val="clear" w:color="auto" w:fill="auto"/>
            <w:noWrap/>
            <w:vAlign w:val="center"/>
            <w:hideMark/>
          </w:tcPr>
          <w:p w:rsidR="00AE04CC" w:rsidRPr="00686018" w:rsidRDefault="00AE04C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r>
    </w:tbl>
    <w:p w:rsidR="00E0691A" w:rsidRPr="00686018" w:rsidRDefault="00E0691A" w:rsidP="00A31608">
      <w:pPr>
        <w:jc w:val="both"/>
        <w:rPr>
          <w:rFonts w:ascii="Times New Roman" w:hAnsi="Times New Roman" w:cs="Times New Roman"/>
          <w:sz w:val="18"/>
        </w:rPr>
      </w:pPr>
      <w:r w:rsidRPr="00686018">
        <w:rPr>
          <w:rFonts w:ascii="Times New Roman" w:hAnsi="Times New Roman" w:cs="Times New Roman"/>
          <w:b/>
          <w:sz w:val="18"/>
        </w:rPr>
        <w:t xml:space="preserve">RME: </w:t>
      </w:r>
      <w:r w:rsidRPr="00686018">
        <w:rPr>
          <w:rFonts w:ascii="Times New Roman" w:hAnsi="Times New Roman" w:cs="Times New Roman"/>
          <w:sz w:val="18"/>
        </w:rPr>
        <w:t>Rendimiento de metano experimental</w:t>
      </w:r>
    </w:p>
    <w:p w:rsidR="00AE04CC" w:rsidRPr="00686018" w:rsidRDefault="00AE04CC"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9B04F5" w:rsidRPr="00686018" w:rsidRDefault="009B04F5" w:rsidP="00A31608">
      <w:pPr>
        <w:pStyle w:val="Ttulo3"/>
        <w:numPr>
          <w:ilvl w:val="1"/>
          <w:numId w:val="4"/>
        </w:numPr>
        <w:ind w:left="431" w:hanging="431"/>
        <w:jc w:val="both"/>
        <w:rPr>
          <w:rFonts w:ascii="Times New Roman" w:hAnsi="Times New Roman" w:cs="Times New Roman"/>
          <w:i w:val="0"/>
          <w:lang w:eastAsia="es-EC"/>
        </w:rPr>
      </w:pPr>
      <w:bookmarkStart w:id="243" w:name="_Toc9537851"/>
      <w:r w:rsidRPr="00686018">
        <w:rPr>
          <w:rFonts w:ascii="Times New Roman" w:hAnsi="Times New Roman" w:cs="Times New Roman"/>
          <w:i w:val="0"/>
          <w:lang w:eastAsia="es-EC"/>
        </w:rPr>
        <w:t>Índice de efecto sinérgico y biodegradabilida</w:t>
      </w:r>
      <w:r w:rsidR="00AE04CC" w:rsidRPr="00686018">
        <w:rPr>
          <w:rFonts w:ascii="Times New Roman" w:hAnsi="Times New Roman" w:cs="Times New Roman"/>
          <w:i w:val="0"/>
          <w:lang w:eastAsia="es-EC"/>
        </w:rPr>
        <w:t>d.</w:t>
      </w:r>
      <w:bookmarkEnd w:id="243"/>
    </w:p>
    <w:p w:rsidR="006C7045" w:rsidRPr="00686018" w:rsidRDefault="00E81EFA"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Con ayuda de las fó</w:t>
      </w:r>
      <w:r w:rsidR="00884E79" w:rsidRPr="00686018">
        <w:rPr>
          <w:rFonts w:ascii="Times New Roman" w:hAnsi="Times New Roman" w:cs="Times New Roman"/>
          <w:sz w:val="24"/>
          <w:lang w:eastAsia="es-EC"/>
        </w:rPr>
        <w:t xml:space="preserve">rmulas empíricas de los sustratos, se estima el rendimiento de metano teórico (RMT) en monodigestión y codigestión; independiente de la cantidad de inóculo empleado el RMT es el mismo para cada caso. </w:t>
      </w:r>
      <w:r w:rsidR="00C92C11" w:rsidRPr="00686018">
        <w:rPr>
          <w:rFonts w:ascii="Times New Roman" w:hAnsi="Times New Roman" w:cs="Times New Roman"/>
          <w:sz w:val="24"/>
          <w:lang w:eastAsia="es-EC"/>
        </w:rPr>
        <w:t xml:space="preserve">Un IES elevado corresponde a un porcentaje de biodegradabilidad alto. El IES y BD para la codigestión de RE y TR se detalla en la </w:t>
      </w:r>
      <w:r w:rsidR="00C92C11" w:rsidRPr="00686018">
        <w:rPr>
          <w:rFonts w:ascii="Times New Roman" w:hAnsi="Times New Roman" w:cs="Times New Roman"/>
          <w:b/>
          <w:sz w:val="24"/>
          <w:lang w:eastAsia="es-EC"/>
        </w:rPr>
        <w:t>tabla 14</w:t>
      </w:r>
      <w:r w:rsidR="00C92C11" w:rsidRPr="00686018">
        <w:rPr>
          <w:rFonts w:ascii="Times New Roman" w:hAnsi="Times New Roman" w:cs="Times New Roman"/>
          <w:sz w:val="24"/>
          <w:lang w:eastAsia="es-EC"/>
        </w:rPr>
        <w:t xml:space="preserve"> con un ra</w:t>
      </w:r>
      <w:r w:rsidR="001217B4" w:rsidRPr="00686018">
        <w:rPr>
          <w:rFonts w:ascii="Times New Roman" w:hAnsi="Times New Roman" w:cs="Times New Roman"/>
          <w:sz w:val="24"/>
          <w:lang w:eastAsia="es-EC"/>
        </w:rPr>
        <w:t>ngo de IES de -</w:t>
      </w:r>
      <w:r w:rsidR="00664E8D" w:rsidRPr="00686018">
        <w:rPr>
          <w:rFonts w:ascii="Times New Roman" w:hAnsi="Times New Roman" w:cs="Times New Roman"/>
          <w:sz w:val="24"/>
          <w:lang w:eastAsia="es-EC"/>
        </w:rPr>
        <w:t>6.24</w:t>
      </w:r>
      <w:r w:rsidR="001217B4" w:rsidRPr="00686018">
        <w:rPr>
          <w:rFonts w:ascii="Times New Roman" w:hAnsi="Times New Roman" w:cs="Times New Roman"/>
          <w:sz w:val="24"/>
          <w:lang w:eastAsia="es-EC"/>
        </w:rPr>
        <w:t>% a 33.86%. L</w:t>
      </w:r>
      <w:r w:rsidR="00C92C11" w:rsidRPr="00686018">
        <w:rPr>
          <w:rFonts w:ascii="Times New Roman" w:hAnsi="Times New Roman" w:cs="Times New Roman"/>
          <w:sz w:val="24"/>
          <w:lang w:eastAsia="es-EC"/>
        </w:rPr>
        <w:t xml:space="preserve">os porcentajes </w:t>
      </w:r>
      <w:r w:rsidR="001217B4" w:rsidRPr="00686018">
        <w:rPr>
          <w:rFonts w:ascii="Times New Roman" w:hAnsi="Times New Roman" w:cs="Times New Roman"/>
          <w:sz w:val="24"/>
          <w:lang w:eastAsia="es-EC"/>
        </w:rPr>
        <w:t>más</w:t>
      </w:r>
      <w:r w:rsidR="00C92C11" w:rsidRPr="00686018">
        <w:rPr>
          <w:rFonts w:ascii="Times New Roman" w:hAnsi="Times New Roman" w:cs="Times New Roman"/>
          <w:sz w:val="24"/>
          <w:lang w:eastAsia="es-EC"/>
        </w:rPr>
        <w:t xml:space="preserve"> altos de IES se presenta en la codigestión de RE a TR a una razón de 3:1 (33.86%), 2:2 (</w:t>
      </w:r>
      <w:r w:rsidR="00BA27C6" w:rsidRPr="00686018">
        <w:rPr>
          <w:rFonts w:ascii="Times New Roman" w:hAnsi="Times New Roman" w:cs="Times New Roman"/>
          <w:sz w:val="24"/>
          <w:lang w:eastAsia="es-EC"/>
        </w:rPr>
        <w:t>16.48</w:t>
      </w:r>
      <w:r w:rsidR="00C92C11" w:rsidRPr="00686018">
        <w:rPr>
          <w:rFonts w:ascii="Times New Roman" w:hAnsi="Times New Roman" w:cs="Times New Roman"/>
          <w:sz w:val="24"/>
          <w:lang w:eastAsia="es-EC"/>
        </w:rPr>
        <w:t>%) y 3:1 (11.10%) para razones I:S de 1:2, 2:1 y 1:1 respectivamente. Los valores negativos indican que a una proporción de RE a TR de 1:3 y 2:2</w:t>
      </w:r>
      <w:r w:rsidR="001217B4" w:rsidRPr="00686018">
        <w:rPr>
          <w:rFonts w:ascii="Times New Roman" w:hAnsi="Times New Roman" w:cs="Times New Roman"/>
          <w:sz w:val="24"/>
          <w:lang w:eastAsia="es-EC"/>
        </w:rPr>
        <w:t>,</w:t>
      </w:r>
      <w:r w:rsidR="00C92C11" w:rsidRPr="00686018">
        <w:rPr>
          <w:rFonts w:ascii="Times New Roman" w:hAnsi="Times New Roman" w:cs="Times New Roman"/>
          <w:sz w:val="24"/>
          <w:lang w:eastAsia="es-EC"/>
        </w:rPr>
        <w:t xml:space="preserve"> uno de los sustratos posee mayor % de lignina (no se degrada fácilmente) y como consecuencia presentan valores de B</w:t>
      </w:r>
      <w:r w:rsidR="001217B4" w:rsidRPr="00686018">
        <w:rPr>
          <w:rFonts w:ascii="Times New Roman" w:hAnsi="Times New Roman" w:cs="Times New Roman"/>
          <w:sz w:val="24"/>
          <w:lang w:eastAsia="es-EC"/>
        </w:rPr>
        <w:t>D muy bajos. D</w:t>
      </w:r>
      <w:r w:rsidR="00F7205D" w:rsidRPr="00686018">
        <w:rPr>
          <w:rFonts w:ascii="Times New Roman" w:hAnsi="Times New Roman" w:cs="Times New Roman"/>
          <w:sz w:val="24"/>
          <w:lang w:eastAsia="es-EC"/>
        </w:rPr>
        <w:t>e la tabla 14</w:t>
      </w:r>
      <w:r w:rsidR="00C92C11" w:rsidRPr="00686018">
        <w:rPr>
          <w:rFonts w:ascii="Times New Roman" w:hAnsi="Times New Roman" w:cs="Times New Roman"/>
          <w:sz w:val="24"/>
          <w:lang w:eastAsia="es-EC"/>
        </w:rPr>
        <w:t xml:space="preserve"> se puede notar que la BD de TR </w:t>
      </w:r>
      <w:r w:rsidR="001217B4" w:rsidRPr="00686018">
        <w:rPr>
          <w:rFonts w:ascii="Times New Roman" w:hAnsi="Times New Roman" w:cs="Times New Roman"/>
          <w:sz w:val="24"/>
          <w:lang w:eastAsia="es-EC"/>
        </w:rPr>
        <w:t>oscila</w:t>
      </w:r>
      <w:r w:rsidR="00C92C11" w:rsidRPr="00686018">
        <w:rPr>
          <w:rFonts w:ascii="Times New Roman" w:hAnsi="Times New Roman" w:cs="Times New Roman"/>
          <w:sz w:val="24"/>
          <w:lang w:eastAsia="es-EC"/>
        </w:rPr>
        <w:t xml:space="preserve"> entre 39.05% </w:t>
      </w:r>
      <w:r w:rsidR="001217B4" w:rsidRPr="00686018">
        <w:rPr>
          <w:rFonts w:ascii="Times New Roman" w:hAnsi="Times New Roman" w:cs="Times New Roman"/>
          <w:sz w:val="24"/>
          <w:lang w:eastAsia="es-EC"/>
        </w:rPr>
        <w:t>a 64.25</w:t>
      </w:r>
      <w:r w:rsidR="0070028A" w:rsidRPr="00686018">
        <w:rPr>
          <w:rFonts w:ascii="Times New Roman" w:hAnsi="Times New Roman" w:cs="Times New Roman"/>
          <w:sz w:val="24"/>
          <w:lang w:eastAsia="es-EC"/>
        </w:rPr>
        <w:t>%,</w:t>
      </w:r>
      <w:r w:rsidR="00C92C11" w:rsidRPr="00686018">
        <w:rPr>
          <w:rFonts w:ascii="Times New Roman" w:hAnsi="Times New Roman" w:cs="Times New Roman"/>
          <w:sz w:val="24"/>
          <w:lang w:eastAsia="es-EC"/>
        </w:rPr>
        <w:t xml:space="preserve"> de R</w:t>
      </w:r>
      <w:r w:rsidR="00BA27C6" w:rsidRPr="00686018">
        <w:rPr>
          <w:rFonts w:ascii="Times New Roman" w:hAnsi="Times New Roman" w:cs="Times New Roman"/>
          <w:sz w:val="24"/>
          <w:lang w:eastAsia="es-EC"/>
        </w:rPr>
        <w:t>E</w:t>
      </w:r>
      <w:r w:rsidR="00C92C11" w:rsidRPr="00686018">
        <w:rPr>
          <w:rFonts w:ascii="Times New Roman" w:hAnsi="Times New Roman" w:cs="Times New Roman"/>
          <w:sz w:val="24"/>
          <w:lang w:eastAsia="es-EC"/>
        </w:rPr>
        <w:t xml:space="preserve"> oscila entre 53.59% a 57.88% </w:t>
      </w:r>
      <w:r w:rsidR="006B427A" w:rsidRPr="00686018">
        <w:rPr>
          <w:rFonts w:ascii="Times New Roman" w:hAnsi="Times New Roman" w:cs="Times New Roman"/>
          <w:sz w:val="24"/>
          <w:lang w:eastAsia="es-EC"/>
        </w:rPr>
        <w:t xml:space="preserve">en monodigestión </w:t>
      </w:r>
      <w:r w:rsidR="0070028A" w:rsidRPr="00686018">
        <w:rPr>
          <w:rFonts w:ascii="Times New Roman" w:hAnsi="Times New Roman" w:cs="Times New Roman"/>
          <w:sz w:val="24"/>
          <w:lang w:eastAsia="es-EC"/>
        </w:rPr>
        <w:t xml:space="preserve">y </w:t>
      </w:r>
      <w:r w:rsidR="00C92C11" w:rsidRPr="00686018">
        <w:rPr>
          <w:rFonts w:ascii="Times New Roman" w:hAnsi="Times New Roman" w:cs="Times New Roman"/>
          <w:sz w:val="24"/>
          <w:lang w:eastAsia="es-EC"/>
        </w:rPr>
        <w:t>a diferente</w:t>
      </w:r>
      <w:r w:rsidR="001217B4" w:rsidRPr="00686018">
        <w:rPr>
          <w:rFonts w:ascii="Times New Roman" w:hAnsi="Times New Roman" w:cs="Times New Roman"/>
          <w:sz w:val="24"/>
          <w:lang w:eastAsia="es-EC"/>
        </w:rPr>
        <w:t>s</w:t>
      </w:r>
      <w:r w:rsidR="00C92C11" w:rsidRPr="00686018">
        <w:rPr>
          <w:rFonts w:ascii="Times New Roman" w:hAnsi="Times New Roman" w:cs="Times New Roman"/>
          <w:sz w:val="24"/>
          <w:lang w:eastAsia="es-EC"/>
        </w:rPr>
        <w:t xml:space="preserve"> fracciones de inoculo;</w:t>
      </w:r>
      <w:r w:rsidR="006B427A" w:rsidRPr="00686018">
        <w:rPr>
          <w:rFonts w:ascii="Times New Roman" w:hAnsi="Times New Roman" w:cs="Times New Roman"/>
          <w:sz w:val="24"/>
          <w:lang w:eastAsia="es-EC"/>
        </w:rPr>
        <w:t xml:space="preserve"> una carga mayor de inoculo incrementa la BD</w:t>
      </w:r>
      <w:r w:rsidR="00B16214" w:rsidRPr="00686018">
        <w:rPr>
          <w:rFonts w:ascii="Times New Roman" w:hAnsi="Times New Roman" w:cs="Times New Roman"/>
          <w:sz w:val="24"/>
          <w:lang w:eastAsia="es-EC"/>
        </w:rPr>
        <w:t xml:space="preserve"> aunque no el IES</w:t>
      </w:r>
      <w:r w:rsidR="0070028A" w:rsidRPr="00686018">
        <w:rPr>
          <w:rFonts w:ascii="Times New Roman" w:hAnsi="Times New Roman" w:cs="Times New Roman"/>
          <w:sz w:val="24"/>
          <w:lang w:eastAsia="es-EC"/>
        </w:rPr>
        <w:t>.</w:t>
      </w:r>
      <w:r w:rsidR="005F1F00" w:rsidRPr="00686018">
        <w:rPr>
          <w:rFonts w:ascii="Times New Roman" w:hAnsi="Times New Roman" w:cs="Times New Roman"/>
          <w:sz w:val="24"/>
          <w:lang w:eastAsia="es-EC"/>
        </w:rPr>
        <w:t xml:space="preserve"> </w:t>
      </w:r>
      <w:r w:rsidR="00B16214" w:rsidRPr="00686018">
        <w:rPr>
          <w:rFonts w:ascii="Times New Roman" w:hAnsi="Times New Roman" w:cs="Times New Roman"/>
          <w:sz w:val="24"/>
          <w:lang w:eastAsia="es-EC"/>
        </w:rPr>
        <w:t>P</w:t>
      </w:r>
      <w:r w:rsidRPr="00686018">
        <w:rPr>
          <w:rFonts w:ascii="Times New Roman" w:hAnsi="Times New Roman" w:cs="Times New Roman"/>
          <w:sz w:val="24"/>
          <w:lang w:eastAsia="es-EC"/>
        </w:rPr>
        <w:t>orcentajes de IES má</w:t>
      </w:r>
      <w:r w:rsidR="0070028A" w:rsidRPr="00686018">
        <w:rPr>
          <w:rFonts w:ascii="Times New Roman" w:hAnsi="Times New Roman" w:cs="Times New Roman"/>
          <w:sz w:val="24"/>
          <w:lang w:eastAsia="es-EC"/>
        </w:rPr>
        <w:t>s altos se presentaron a concentraciones inferiores de inoculo (I:S – 1:2) y concentraciones más altas de RE con respecto a TR (RE:TR 3:1); además, la BD en este experimento fue ligeramente inferior a I:S – 2:1 y tuvo concentraciones de metano acumulado similares</w:t>
      </w:r>
      <w:r w:rsidR="00C92C11" w:rsidRPr="00686018">
        <w:rPr>
          <w:rFonts w:ascii="Times New Roman" w:hAnsi="Times New Roman" w:cs="Times New Roman"/>
          <w:sz w:val="24"/>
          <w:lang w:eastAsia="es-EC"/>
        </w:rPr>
        <w:t>.</w:t>
      </w:r>
      <w:r w:rsidR="001217B4" w:rsidRPr="00686018">
        <w:rPr>
          <w:rFonts w:ascii="Times New Roman" w:hAnsi="Times New Roman" w:cs="Times New Roman"/>
          <w:sz w:val="24"/>
          <w:lang w:eastAsia="es-EC"/>
        </w:rPr>
        <w:t xml:space="preserve"> </w:t>
      </w:r>
      <w:r w:rsidR="00532492" w:rsidRPr="00686018">
        <w:rPr>
          <w:rFonts w:ascii="Times New Roman" w:hAnsi="Times New Roman" w:cs="Times New Roman"/>
          <w:sz w:val="24"/>
          <w:lang w:eastAsia="es-EC"/>
        </w:rPr>
        <w:t>L</w:t>
      </w:r>
      <w:r w:rsidR="001217B4" w:rsidRPr="00686018">
        <w:rPr>
          <w:rFonts w:ascii="Times New Roman" w:hAnsi="Times New Roman" w:cs="Times New Roman"/>
          <w:sz w:val="24"/>
          <w:lang w:eastAsia="es-EC"/>
        </w:rPr>
        <w:t xml:space="preserve">os porcentajes negativos de IES en el experimento I:S-1:1, </w:t>
      </w:r>
      <w:r w:rsidR="00532492" w:rsidRPr="00686018">
        <w:rPr>
          <w:rFonts w:ascii="Times New Roman" w:hAnsi="Times New Roman" w:cs="Times New Roman"/>
          <w:sz w:val="24"/>
          <w:lang w:eastAsia="es-EC"/>
        </w:rPr>
        <w:t xml:space="preserve">indican que cantidades iguales de </w:t>
      </w:r>
      <w:r w:rsidR="00B16214" w:rsidRPr="00686018">
        <w:rPr>
          <w:rFonts w:ascii="Times New Roman" w:hAnsi="Times New Roman" w:cs="Times New Roman"/>
          <w:sz w:val="24"/>
          <w:lang w:eastAsia="es-EC"/>
        </w:rPr>
        <w:t>inóculo</w:t>
      </w:r>
      <w:r w:rsidR="00532492" w:rsidRPr="00686018">
        <w:rPr>
          <w:rFonts w:ascii="Times New Roman" w:hAnsi="Times New Roman" w:cs="Times New Roman"/>
          <w:sz w:val="24"/>
          <w:lang w:eastAsia="es-EC"/>
        </w:rPr>
        <w:t xml:space="preserve"> y sustratos no favorecen el IES; los sustratos podrían estar generan</w:t>
      </w:r>
      <w:r w:rsidR="00B16214" w:rsidRPr="00686018">
        <w:rPr>
          <w:rFonts w:ascii="Times New Roman" w:hAnsi="Times New Roman" w:cs="Times New Roman"/>
          <w:sz w:val="24"/>
          <w:lang w:eastAsia="es-EC"/>
        </w:rPr>
        <w:t>do metano a expensas de la materia orgánica presente en el inoculo mismo</w:t>
      </w:r>
      <w:r w:rsidR="00664E8D" w:rsidRPr="00686018">
        <w:rPr>
          <w:rFonts w:ascii="Times New Roman" w:hAnsi="Times New Roman" w:cs="Times New Roman"/>
          <w:sz w:val="24"/>
          <w:lang w:eastAsia="es-EC"/>
        </w:rPr>
        <w:t xml:space="preserve"> y no del sustrato como tal</w:t>
      </w:r>
      <w:r w:rsidR="001217B4" w:rsidRPr="00686018">
        <w:rPr>
          <w:rFonts w:ascii="Times New Roman" w:hAnsi="Times New Roman" w:cs="Times New Roman"/>
          <w:sz w:val="24"/>
          <w:lang w:eastAsia="es-EC"/>
        </w:rPr>
        <w:t xml:space="preserve">. </w:t>
      </w:r>
    </w:p>
    <w:p w:rsidR="00012CAC" w:rsidRPr="00686018" w:rsidRDefault="00012CAC" w:rsidP="00A31608">
      <w:pPr>
        <w:pStyle w:val="Descripcin"/>
        <w:jc w:val="both"/>
        <w:rPr>
          <w:rFonts w:ascii="Times New Roman" w:hAnsi="Times New Roman" w:cs="Times New Roman"/>
          <w:i w:val="0"/>
          <w:color w:val="auto"/>
          <w:lang w:eastAsia="es-EC"/>
        </w:rPr>
      </w:pPr>
      <w:bookmarkStart w:id="244" w:name="_Toc9537917"/>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14</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Índice de efecto sinérgico y biodegradabilidad ocurrida durante la codigestión de RE y TR</w:t>
      </w:r>
      <w:r w:rsidR="006C0749" w:rsidRPr="00686018">
        <w:rPr>
          <w:rFonts w:ascii="Times New Roman" w:hAnsi="Times New Roman" w:cs="Times New Roman"/>
          <w:i w:val="0"/>
          <w:color w:val="auto"/>
        </w:rPr>
        <w:t>.</w:t>
      </w:r>
      <w:bookmarkEnd w:id="244"/>
    </w:p>
    <w:tbl>
      <w:tblPr>
        <w:tblW w:w="7924" w:type="dxa"/>
        <w:jc w:val="center"/>
        <w:tblCellMar>
          <w:left w:w="70" w:type="dxa"/>
          <w:right w:w="70" w:type="dxa"/>
        </w:tblCellMar>
        <w:tblLook w:val="04A0" w:firstRow="1" w:lastRow="0" w:firstColumn="1" w:lastColumn="0" w:noHBand="0" w:noVBand="1"/>
      </w:tblPr>
      <w:tblGrid>
        <w:gridCol w:w="1077"/>
        <w:gridCol w:w="1221"/>
        <w:gridCol w:w="1474"/>
        <w:gridCol w:w="1384"/>
        <w:gridCol w:w="1384"/>
        <w:gridCol w:w="1384"/>
      </w:tblGrid>
      <w:tr w:rsidR="00012CAC" w:rsidRPr="00686018" w:rsidTr="007D362B">
        <w:trPr>
          <w:trHeight w:val="300"/>
          <w:jc w:val="center"/>
        </w:trPr>
        <w:tc>
          <w:tcPr>
            <w:tcW w:w="1077" w:type="dxa"/>
            <w:tcBorders>
              <w:top w:val="single" w:sz="4" w:space="0" w:color="auto"/>
              <w:bottom w:val="single" w:sz="4" w:space="0" w:color="auto"/>
            </w:tcBorders>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I:S</w:t>
            </w:r>
          </w:p>
        </w:tc>
        <w:tc>
          <w:tcPr>
            <w:tcW w:w="1221" w:type="dxa"/>
            <w:tcBorders>
              <w:top w:val="single" w:sz="4" w:space="0" w:color="auto"/>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RE:TR</w:t>
            </w:r>
          </w:p>
        </w:tc>
        <w:tc>
          <w:tcPr>
            <w:tcW w:w="1474" w:type="dxa"/>
            <w:tcBorders>
              <w:top w:val="single" w:sz="4" w:space="0" w:color="auto"/>
              <w:bottom w:val="single" w:sz="4" w:space="0" w:color="auto"/>
            </w:tcBorders>
            <w:shd w:val="clear" w:color="auto" w:fill="auto"/>
            <w:noWrap/>
            <w:vAlign w:val="center"/>
            <w:hideMark/>
          </w:tcPr>
          <w:p w:rsidR="007D362B"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 xml:space="preserve">RME </w:t>
            </w:r>
          </w:p>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w:t>
            </w:r>
            <w:r w:rsidR="00DD14D0">
              <w:rPr>
                <w:rFonts w:ascii="Times New Roman" w:eastAsia="Times New Roman" w:hAnsi="Times New Roman" w:cs="Times New Roman"/>
                <w:b/>
                <w:bCs/>
                <w:sz w:val="18"/>
                <w:szCs w:val="18"/>
                <w:lang w:eastAsia="es-EC"/>
              </w:rPr>
              <w:t>mL</w:t>
            </w:r>
            <w:r w:rsidRPr="00686018">
              <w:rPr>
                <w:rFonts w:ascii="Times New Roman" w:eastAsia="Times New Roman" w:hAnsi="Times New Roman" w:cs="Times New Roman"/>
                <w:b/>
                <w:bCs/>
                <w:sz w:val="18"/>
                <w:szCs w:val="18"/>
                <w:lang w:eastAsia="es-EC"/>
              </w:rPr>
              <w:t>/g-SV)</w:t>
            </w:r>
          </w:p>
        </w:tc>
        <w:tc>
          <w:tcPr>
            <w:tcW w:w="1384" w:type="dxa"/>
            <w:tcBorders>
              <w:top w:val="single" w:sz="4" w:space="0" w:color="auto"/>
              <w:bottom w:val="single" w:sz="4" w:space="0" w:color="auto"/>
            </w:tcBorders>
            <w:shd w:val="clear" w:color="auto" w:fill="auto"/>
            <w:noWrap/>
            <w:vAlign w:val="center"/>
            <w:hideMark/>
          </w:tcPr>
          <w:p w:rsidR="007D362B"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 xml:space="preserve">RMT </w:t>
            </w:r>
          </w:p>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w:t>
            </w:r>
            <w:r w:rsidR="00DD14D0">
              <w:rPr>
                <w:rFonts w:ascii="Times New Roman" w:eastAsia="Times New Roman" w:hAnsi="Times New Roman" w:cs="Times New Roman"/>
                <w:b/>
                <w:bCs/>
                <w:sz w:val="18"/>
                <w:szCs w:val="18"/>
                <w:lang w:eastAsia="es-EC"/>
              </w:rPr>
              <w:t>mL</w:t>
            </w:r>
            <w:r w:rsidRPr="00686018">
              <w:rPr>
                <w:rFonts w:ascii="Times New Roman" w:eastAsia="Times New Roman" w:hAnsi="Times New Roman" w:cs="Times New Roman"/>
                <w:b/>
                <w:bCs/>
                <w:sz w:val="18"/>
                <w:szCs w:val="18"/>
                <w:lang w:eastAsia="es-EC"/>
              </w:rPr>
              <w:t>/g-SV)</w:t>
            </w:r>
          </w:p>
        </w:tc>
        <w:tc>
          <w:tcPr>
            <w:tcW w:w="1384" w:type="dxa"/>
            <w:tcBorders>
              <w:top w:val="single" w:sz="4" w:space="0" w:color="auto"/>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IES (%)</w:t>
            </w:r>
          </w:p>
        </w:tc>
        <w:tc>
          <w:tcPr>
            <w:tcW w:w="1384" w:type="dxa"/>
            <w:tcBorders>
              <w:top w:val="single" w:sz="4" w:space="0" w:color="auto"/>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BD(%)</w:t>
            </w:r>
          </w:p>
        </w:tc>
      </w:tr>
      <w:tr w:rsidR="00012CAC" w:rsidRPr="00686018" w:rsidTr="007D362B">
        <w:trPr>
          <w:trHeight w:val="300"/>
          <w:jc w:val="center"/>
        </w:trPr>
        <w:tc>
          <w:tcPr>
            <w:tcW w:w="1077" w:type="dxa"/>
            <w:vMerge w:val="restart"/>
            <w:tcBorders>
              <w:top w:val="single" w:sz="4" w:space="0" w:color="auto"/>
            </w:tcBorders>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p>
        </w:tc>
        <w:tc>
          <w:tcPr>
            <w:tcW w:w="1221"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47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86</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47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23</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24</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18</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474" w:type="dxa"/>
            <w:shd w:val="clear" w:color="auto" w:fill="auto"/>
            <w:noWrap/>
            <w:vAlign w:val="center"/>
            <w:hideMark/>
          </w:tcPr>
          <w:p w:rsidR="00012CAC" w:rsidRPr="00686018" w:rsidRDefault="00766DD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21</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w:t>
            </w:r>
          </w:p>
        </w:tc>
        <w:tc>
          <w:tcPr>
            <w:tcW w:w="1384" w:type="dxa"/>
            <w:shd w:val="clear" w:color="auto" w:fill="auto"/>
            <w:noWrap/>
            <w:vAlign w:val="center"/>
            <w:hideMark/>
          </w:tcPr>
          <w:p w:rsidR="00012CAC" w:rsidRPr="00686018" w:rsidRDefault="00BA27C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16.48</w:t>
            </w:r>
          </w:p>
        </w:tc>
        <w:tc>
          <w:tcPr>
            <w:tcW w:w="1384" w:type="dxa"/>
            <w:shd w:val="clear" w:color="auto" w:fill="auto"/>
            <w:noWrap/>
            <w:vAlign w:val="center"/>
            <w:hideMark/>
          </w:tcPr>
          <w:p w:rsidR="00012CAC" w:rsidRPr="00686018" w:rsidRDefault="00BA27C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71.11</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47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17</w:t>
            </w:r>
          </w:p>
        </w:tc>
      </w:tr>
      <w:tr w:rsidR="00012CAC" w:rsidRPr="00686018" w:rsidTr="007D362B">
        <w:trPr>
          <w:trHeight w:val="300"/>
          <w:jc w:val="center"/>
        </w:trPr>
        <w:tc>
          <w:tcPr>
            <w:tcW w:w="1077" w:type="dxa"/>
            <w:vMerge/>
            <w:tcBorders>
              <w:bottom w:val="single" w:sz="4" w:space="0" w:color="auto"/>
            </w:tcBorders>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47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35</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88</w:t>
            </w:r>
          </w:p>
        </w:tc>
      </w:tr>
      <w:tr w:rsidR="00012CAC" w:rsidRPr="00686018" w:rsidTr="007D362B">
        <w:trPr>
          <w:trHeight w:val="300"/>
          <w:jc w:val="center"/>
        </w:trPr>
        <w:tc>
          <w:tcPr>
            <w:tcW w:w="1077" w:type="dxa"/>
            <w:vMerge w:val="restart"/>
            <w:tcBorders>
              <w:top w:val="single" w:sz="4" w:space="0" w:color="auto"/>
            </w:tcBorders>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p>
        </w:tc>
        <w:tc>
          <w:tcPr>
            <w:tcW w:w="1221"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47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86</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47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63</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23</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89</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23</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474" w:type="dxa"/>
            <w:shd w:val="clear" w:color="auto" w:fill="auto"/>
            <w:noWrap/>
            <w:vAlign w:val="center"/>
            <w:hideMark/>
          </w:tcPr>
          <w:p w:rsidR="00012CAC" w:rsidRPr="00686018" w:rsidRDefault="00BA27C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w:t>
            </w:r>
            <w:r w:rsidR="00BA27C6" w:rsidRPr="00686018">
              <w:rPr>
                <w:rFonts w:ascii="Times New Roman" w:eastAsia="Times New Roman" w:hAnsi="Times New Roman" w:cs="Times New Roman"/>
                <w:sz w:val="18"/>
                <w:szCs w:val="18"/>
                <w:lang w:eastAsia="es-EC"/>
              </w:rPr>
              <w:t>6.24</w:t>
            </w:r>
          </w:p>
        </w:tc>
        <w:tc>
          <w:tcPr>
            <w:tcW w:w="1384" w:type="dxa"/>
            <w:shd w:val="clear" w:color="auto" w:fill="auto"/>
            <w:noWrap/>
            <w:vAlign w:val="center"/>
            <w:hideMark/>
          </w:tcPr>
          <w:p w:rsidR="00012CAC" w:rsidRPr="00686018" w:rsidRDefault="00BA27C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54.85</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47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16</w:t>
            </w:r>
          </w:p>
        </w:tc>
      </w:tr>
      <w:tr w:rsidR="00012CAC" w:rsidRPr="00686018" w:rsidTr="007D362B">
        <w:trPr>
          <w:trHeight w:val="300"/>
          <w:jc w:val="center"/>
        </w:trPr>
        <w:tc>
          <w:tcPr>
            <w:tcW w:w="1077" w:type="dxa"/>
            <w:vMerge/>
            <w:tcBorders>
              <w:bottom w:val="single" w:sz="4" w:space="0" w:color="auto"/>
            </w:tcBorders>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47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35</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21</w:t>
            </w:r>
          </w:p>
        </w:tc>
      </w:tr>
      <w:tr w:rsidR="00012CAC" w:rsidRPr="00686018" w:rsidTr="007D362B">
        <w:trPr>
          <w:trHeight w:val="300"/>
          <w:jc w:val="center"/>
        </w:trPr>
        <w:tc>
          <w:tcPr>
            <w:tcW w:w="1077" w:type="dxa"/>
            <w:vMerge w:val="restart"/>
            <w:tcBorders>
              <w:top w:val="single" w:sz="4" w:space="0" w:color="auto"/>
            </w:tcBorders>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p>
        </w:tc>
        <w:tc>
          <w:tcPr>
            <w:tcW w:w="1221"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47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86</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w:t>
            </w:r>
          </w:p>
        </w:tc>
        <w:tc>
          <w:tcPr>
            <w:tcW w:w="1384" w:type="dxa"/>
            <w:tcBorders>
              <w:top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05</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47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74</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23</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06</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474" w:type="dxa"/>
            <w:shd w:val="clear" w:color="auto" w:fill="auto"/>
            <w:noWrap/>
            <w:vAlign w:val="center"/>
            <w:hideMark/>
          </w:tcPr>
          <w:p w:rsidR="00012CAC" w:rsidRPr="00686018" w:rsidRDefault="00BA27C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w:t>
            </w:r>
          </w:p>
        </w:tc>
        <w:tc>
          <w:tcPr>
            <w:tcW w:w="1384" w:type="dxa"/>
            <w:shd w:val="clear" w:color="auto" w:fill="auto"/>
            <w:noWrap/>
            <w:vAlign w:val="center"/>
            <w:hideMark/>
          </w:tcPr>
          <w:p w:rsidR="00012CAC" w:rsidRPr="00686018" w:rsidRDefault="00BA27C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w:t>
            </w:r>
            <w:r w:rsidR="00123A60" w:rsidRPr="00686018">
              <w:rPr>
                <w:rFonts w:ascii="Times New Roman" w:eastAsia="Times New Roman" w:hAnsi="Times New Roman" w:cs="Times New Roman"/>
                <w:sz w:val="18"/>
                <w:szCs w:val="18"/>
                <w:lang w:eastAsia="es-EC"/>
              </w:rPr>
              <w:t>.</w:t>
            </w:r>
            <w:r w:rsidR="00012CAC" w:rsidRPr="00686018">
              <w:rPr>
                <w:rFonts w:ascii="Times New Roman" w:eastAsia="Times New Roman" w:hAnsi="Times New Roman" w:cs="Times New Roman"/>
                <w:sz w:val="18"/>
                <w:szCs w:val="18"/>
                <w:lang w:eastAsia="es-EC"/>
              </w:rPr>
              <w:t>86</w:t>
            </w:r>
          </w:p>
        </w:tc>
        <w:tc>
          <w:tcPr>
            <w:tcW w:w="1384" w:type="dxa"/>
            <w:shd w:val="clear" w:color="auto" w:fill="auto"/>
            <w:noWrap/>
            <w:vAlign w:val="center"/>
            <w:hideMark/>
          </w:tcPr>
          <w:p w:rsidR="00012CAC" w:rsidRPr="00686018" w:rsidRDefault="00BA27C6"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59.29</w:t>
            </w:r>
          </w:p>
        </w:tc>
      </w:tr>
      <w:tr w:rsidR="00012CAC" w:rsidRPr="00686018" w:rsidTr="007D362B">
        <w:trPr>
          <w:trHeight w:val="300"/>
          <w:jc w:val="center"/>
        </w:trPr>
        <w:tc>
          <w:tcPr>
            <w:tcW w:w="1077" w:type="dxa"/>
            <w:vMerge/>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47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86</w:t>
            </w:r>
          </w:p>
        </w:tc>
        <w:tc>
          <w:tcPr>
            <w:tcW w:w="1384" w:type="dxa"/>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r>
      <w:tr w:rsidR="00012CAC" w:rsidRPr="00686018" w:rsidTr="007D362B">
        <w:trPr>
          <w:trHeight w:val="300"/>
          <w:jc w:val="center"/>
        </w:trPr>
        <w:tc>
          <w:tcPr>
            <w:tcW w:w="1077" w:type="dxa"/>
            <w:vMerge/>
            <w:tcBorders>
              <w:bottom w:val="single" w:sz="4" w:space="0" w:color="auto"/>
            </w:tcBorders>
            <w:shd w:val="clear" w:color="auto" w:fill="auto"/>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p>
        </w:tc>
        <w:tc>
          <w:tcPr>
            <w:tcW w:w="1221"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47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35</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w:t>
            </w:r>
          </w:p>
        </w:tc>
        <w:tc>
          <w:tcPr>
            <w:tcW w:w="1384" w:type="dxa"/>
            <w:tcBorders>
              <w:bottom w:val="single" w:sz="4" w:space="0" w:color="auto"/>
            </w:tcBorders>
            <w:shd w:val="clear" w:color="auto" w:fill="auto"/>
            <w:noWrap/>
            <w:vAlign w:val="center"/>
            <w:hideMark/>
          </w:tcPr>
          <w:p w:rsidR="00012CAC" w:rsidRPr="00686018" w:rsidRDefault="00012CAC"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r>
    </w:tbl>
    <w:p w:rsidR="00E0691A" w:rsidRPr="00686018" w:rsidRDefault="00E0691A" w:rsidP="00A31608">
      <w:pPr>
        <w:jc w:val="both"/>
        <w:rPr>
          <w:rFonts w:ascii="Times New Roman" w:hAnsi="Times New Roman" w:cs="Times New Roman"/>
          <w:b/>
          <w:sz w:val="18"/>
        </w:rPr>
      </w:pPr>
      <w:r w:rsidRPr="00686018">
        <w:rPr>
          <w:rFonts w:ascii="Times New Roman" w:hAnsi="Times New Roman" w:cs="Times New Roman"/>
          <w:b/>
          <w:sz w:val="18"/>
        </w:rPr>
        <w:t xml:space="preserve">IES: </w:t>
      </w:r>
      <w:r w:rsidRPr="00686018">
        <w:rPr>
          <w:rFonts w:ascii="Times New Roman" w:hAnsi="Times New Roman" w:cs="Times New Roman"/>
          <w:sz w:val="18"/>
        </w:rPr>
        <w:t>Índice de efecto sinérgico.</w:t>
      </w:r>
    </w:p>
    <w:p w:rsidR="00E0691A" w:rsidRPr="00686018" w:rsidRDefault="00E0691A" w:rsidP="00A31608">
      <w:pPr>
        <w:jc w:val="both"/>
        <w:rPr>
          <w:rFonts w:ascii="Times New Roman" w:hAnsi="Times New Roman" w:cs="Times New Roman"/>
          <w:b/>
          <w:sz w:val="18"/>
        </w:rPr>
      </w:pPr>
      <w:r w:rsidRPr="00686018">
        <w:rPr>
          <w:rFonts w:ascii="Times New Roman" w:hAnsi="Times New Roman" w:cs="Times New Roman"/>
          <w:b/>
          <w:sz w:val="18"/>
        </w:rPr>
        <w:t xml:space="preserve">BD: </w:t>
      </w:r>
      <w:r w:rsidRPr="00686018">
        <w:rPr>
          <w:rFonts w:ascii="Times New Roman" w:hAnsi="Times New Roman" w:cs="Times New Roman"/>
          <w:sz w:val="18"/>
        </w:rPr>
        <w:t>Biodegradabilidad</w:t>
      </w:r>
    </w:p>
    <w:p w:rsidR="00012CAC" w:rsidRPr="00686018" w:rsidRDefault="00012CAC"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406098" w:rsidRPr="00686018" w:rsidRDefault="009B04F5" w:rsidP="00A31608">
      <w:pPr>
        <w:pStyle w:val="Ttulo3"/>
        <w:numPr>
          <w:ilvl w:val="1"/>
          <w:numId w:val="4"/>
        </w:numPr>
        <w:ind w:left="431" w:hanging="431"/>
        <w:jc w:val="both"/>
        <w:rPr>
          <w:rFonts w:ascii="Times New Roman" w:hAnsi="Times New Roman" w:cs="Times New Roman"/>
          <w:i w:val="0"/>
          <w:lang w:eastAsia="es-EC"/>
        </w:rPr>
      </w:pPr>
      <w:bookmarkStart w:id="245" w:name="_Toc9537852"/>
      <w:r w:rsidRPr="00686018">
        <w:rPr>
          <w:rFonts w:ascii="Times New Roman" w:hAnsi="Times New Roman" w:cs="Times New Roman"/>
          <w:i w:val="0"/>
          <w:lang w:eastAsia="es-EC"/>
        </w:rPr>
        <w:t>Contraste cinético de la producción de biogás (metano)</w:t>
      </w:r>
      <w:bookmarkEnd w:id="245"/>
    </w:p>
    <w:p w:rsidR="009B04F5" w:rsidRPr="00686018" w:rsidRDefault="009B04F5" w:rsidP="00A31608">
      <w:pPr>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Con el fin de evaluar el rendimiento de la DA </w:t>
      </w:r>
      <w:r w:rsidR="00B978E4" w:rsidRPr="00686018">
        <w:rPr>
          <w:rFonts w:ascii="Times New Roman" w:hAnsi="Times New Roman" w:cs="Times New Roman"/>
          <w:sz w:val="24"/>
          <w:lang w:eastAsia="es-EC"/>
        </w:rPr>
        <w:t>mesofílica</w:t>
      </w:r>
      <w:r w:rsidRPr="00686018">
        <w:rPr>
          <w:rFonts w:ascii="Times New Roman" w:hAnsi="Times New Roman" w:cs="Times New Roman"/>
          <w:sz w:val="24"/>
          <w:lang w:eastAsia="es-EC"/>
        </w:rPr>
        <w:t xml:space="preserve">, se estudió la cinética del Modelo </w:t>
      </w:r>
      <w:r w:rsidR="00B978E4" w:rsidRPr="00686018">
        <w:rPr>
          <w:rFonts w:ascii="Times New Roman" w:hAnsi="Times New Roman" w:cs="Times New Roman"/>
          <w:sz w:val="24"/>
          <w:lang w:eastAsia="es-EC"/>
        </w:rPr>
        <w:t xml:space="preserve">Modificado </w:t>
      </w:r>
      <w:r w:rsidRPr="00686018">
        <w:rPr>
          <w:rFonts w:ascii="Times New Roman" w:hAnsi="Times New Roman" w:cs="Times New Roman"/>
          <w:sz w:val="24"/>
          <w:lang w:eastAsia="es-EC"/>
        </w:rPr>
        <w:t xml:space="preserve">de Gompertz, Modelo de función de Transferencia, Modelo de Primer Orden y Modelo del Cono. Los parámetros tales como: rendimiento de metano acumulado, razón de generación máxima de metano, razón constante de hidrolisis (Modelo de primer orden y modelo del cono) y la duración de la fase de latencia </w:t>
      </w:r>
      <w:r w:rsidR="00F64AE0" w:rsidRPr="00686018">
        <w:rPr>
          <w:rFonts w:ascii="Times New Roman" w:hAnsi="Times New Roman" w:cs="Times New Roman"/>
          <w:sz w:val="24"/>
          <w:lang w:eastAsia="es-EC"/>
        </w:rPr>
        <w:t>fueron estimados para cada caso</w:t>
      </w:r>
      <w:r w:rsidRPr="00686018">
        <w:rPr>
          <w:rFonts w:ascii="Times New Roman" w:hAnsi="Times New Roman" w:cs="Times New Roman"/>
          <w:sz w:val="24"/>
          <w:lang w:eastAsia="es-EC"/>
        </w:rPr>
        <w:t>.</w:t>
      </w:r>
    </w:p>
    <w:p w:rsidR="00193D70" w:rsidRPr="00686018" w:rsidRDefault="00193D70" w:rsidP="00A31608">
      <w:pPr>
        <w:pStyle w:val="Ttulo4"/>
        <w:numPr>
          <w:ilvl w:val="2"/>
          <w:numId w:val="4"/>
        </w:numPr>
        <w:ind w:left="505" w:hanging="505"/>
        <w:jc w:val="both"/>
        <w:rPr>
          <w:rFonts w:ascii="Times New Roman" w:hAnsi="Times New Roman" w:cs="Times New Roman"/>
          <w:i w:val="0"/>
          <w:u w:val="none"/>
          <w:lang w:eastAsia="es-EC"/>
        </w:rPr>
      </w:pPr>
      <w:bookmarkStart w:id="246" w:name="_Toc9537853"/>
      <w:r w:rsidRPr="00686018">
        <w:rPr>
          <w:rFonts w:ascii="Times New Roman" w:hAnsi="Times New Roman" w:cs="Times New Roman"/>
          <w:i w:val="0"/>
          <w:u w:val="none"/>
          <w:lang w:eastAsia="es-EC"/>
        </w:rPr>
        <w:t>Ajuste de los modelos cinéticos</w:t>
      </w:r>
      <w:bookmarkEnd w:id="246"/>
    </w:p>
    <w:p w:rsidR="009F6058" w:rsidRPr="00686018" w:rsidRDefault="00E54E6E"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Para evaluar la solidez del estudio cinético se determinaron los indicadores estadísticos: raíz cuad</w:t>
      </w:r>
      <w:r w:rsidR="00F7205D" w:rsidRPr="00686018">
        <w:rPr>
          <w:rFonts w:ascii="Times New Roman" w:hAnsi="Times New Roman" w:cs="Times New Roman"/>
          <w:sz w:val="24"/>
          <w:lang w:eastAsia="es-EC"/>
        </w:rPr>
        <w:t xml:space="preserve">rática media del error (RCME), </w:t>
      </w:r>
      <w:r w:rsidRPr="00686018">
        <w:rPr>
          <w:rFonts w:ascii="Times New Roman" w:hAnsi="Times New Roman" w:cs="Times New Roman"/>
          <w:sz w:val="24"/>
          <w:lang w:eastAsia="es-EC"/>
        </w:rPr>
        <w:t>el coeficiente de correlación (R</w:t>
      </w:r>
      <w:r w:rsidRPr="00686018">
        <w:rPr>
          <w:rFonts w:ascii="Times New Roman" w:hAnsi="Times New Roman" w:cs="Times New Roman"/>
          <w:sz w:val="24"/>
          <w:vertAlign w:val="superscript"/>
          <w:lang w:eastAsia="es-EC"/>
        </w:rPr>
        <w:t>2</w:t>
      </w:r>
      <w:r w:rsidRPr="00686018">
        <w:rPr>
          <w:rFonts w:ascii="Times New Roman" w:hAnsi="Times New Roman" w:cs="Times New Roman"/>
          <w:sz w:val="24"/>
          <w:lang w:eastAsia="es-EC"/>
        </w:rPr>
        <w:t xml:space="preserve">) </w:t>
      </w:r>
      <w:r w:rsidR="00D26126" w:rsidRPr="00686018">
        <w:rPr>
          <w:rFonts w:ascii="Times New Roman" w:hAnsi="Times New Roman" w:cs="Times New Roman"/>
          <w:sz w:val="24"/>
          <w:lang w:eastAsia="es-EC"/>
        </w:rPr>
        <w:t>así</w:t>
      </w:r>
      <w:r w:rsidRPr="00686018">
        <w:rPr>
          <w:rFonts w:ascii="Times New Roman" w:hAnsi="Times New Roman" w:cs="Times New Roman"/>
          <w:sz w:val="24"/>
          <w:lang w:eastAsia="es-EC"/>
        </w:rPr>
        <w:t xml:space="preserve"> como también la desviación </w:t>
      </w:r>
      <w:r w:rsidR="00D26126" w:rsidRPr="00686018">
        <w:rPr>
          <w:rFonts w:ascii="Times New Roman" w:hAnsi="Times New Roman" w:cs="Times New Roman"/>
          <w:sz w:val="24"/>
          <w:lang w:eastAsia="es-EC"/>
        </w:rPr>
        <w:t>del RME experimental y el estimado</w:t>
      </w:r>
      <w:r w:rsidRPr="00686018">
        <w:rPr>
          <w:rFonts w:ascii="Times New Roman" w:hAnsi="Times New Roman" w:cs="Times New Roman"/>
          <w:sz w:val="24"/>
          <w:lang w:eastAsia="es-EC"/>
        </w:rPr>
        <w:t xml:space="preserve">. </w:t>
      </w:r>
      <w:r w:rsidR="00164EFB" w:rsidRPr="00686018">
        <w:rPr>
          <w:rFonts w:ascii="Times New Roman" w:hAnsi="Times New Roman" w:cs="Times New Roman"/>
          <w:sz w:val="24"/>
          <w:lang w:eastAsia="es-EC"/>
        </w:rPr>
        <w:t>De acuerdo a las tablas</w:t>
      </w:r>
      <w:r w:rsidR="00F7205D" w:rsidRPr="00686018">
        <w:rPr>
          <w:rFonts w:ascii="Times New Roman" w:hAnsi="Times New Roman" w:cs="Times New Roman"/>
          <w:sz w:val="24"/>
          <w:lang w:eastAsia="es-EC"/>
        </w:rPr>
        <w:t xml:space="preserve"> 15 a 18</w:t>
      </w:r>
      <w:r w:rsidR="00164EFB" w:rsidRPr="00686018">
        <w:rPr>
          <w:rFonts w:ascii="Times New Roman" w:hAnsi="Times New Roman" w:cs="Times New Roman"/>
          <w:sz w:val="24"/>
          <w:lang w:eastAsia="es-EC"/>
        </w:rPr>
        <w:t xml:space="preserve">, el valor de RCME más bajo estuvo en un rango de 3.835 a 11.505 </w:t>
      </w:r>
      <w:r w:rsidR="00843B43" w:rsidRPr="00686018">
        <w:rPr>
          <w:rFonts w:ascii="Times New Roman" w:hAnsi="Times New Roman" w:cs="Times New Roman"/>
          <w:sz w:val="24"/>
          <w:lang w:eastAsia="es-EC"/>
        </w:rPr>
        <w:t xml:space="preserve">y </w:t>
      </w:r>
      <w:r w:rsidR="00164EFB" w:rsidRPr="00686018">
        <w:rPr>
          <w:rFonts w:ascii="Times New Roman" w:hAnsi="Times New Roman" w:cs="Times New Roman"/>
          <w:sz w:val="24"/>
          <w:lang w:eastAsia="es-EC"/>
        </w:rPr>
        <w:t>R</w:t>
      </w:r>
      <w:r w:rsidR="00843B43" w:rsidRPr="00686018">
        <w:rPr>
          <w:rFonts w:ascii="Times New Roman" w:hAnsi="Times New Roman" w:cs="Times New Roman"/>
          <w:sz w:val="24"/>
          <w:vertAlign w:val="superscript"/>
          <w:lang w:eastAsia="es-EC"/>
        </w:rPr>
        <w:t>2</w:t>
      </w:r>
      <w:r w:rsidR="00164EFB" w:rsidRPr="00686018">
        <w:rPr>
          <w:rFonts w:ascii="Times New Roman" w:hAnsi="Times New Roman" w:cs="Times New Roman"/>
          <w:sz w:val="24"/>
          <w:lang w:eastAsia="es-EC"/>
        </w:rPr>
        <w:t xml:space="preserve"> de 0.973 a 0.997, cuando se </w:t>
      </w:r>
      <w:r w:rsidR="00843B43" w:rsidRPr="00686018">
        <w:rPr>
          <w:rFonts w:ascii="Times New Roman" w:hAnsi="Times New Roman" w:cs="Times New Roman"/>
          <w:sz w:val="24"/>
          <w:lang w:eastAsia="es-EC"/>
        </w:rPr>
        <w:t>usó</w:t>
      </w:r>
      <w:r w:rsidR="00164EFB" w:rsidRPr="00686018">
        <w:rPr>
          <w:rFonts w:ascii="Times New Roman" w:hAnsi="Times New Roman" w:cs="Times New Roman"/>
          <w:sz w:val="24"/>
          <w:lang w:eastAsia="es-EC"/>
        </w:rPr>
        <w:t xml:space="preserve"> el modelo modificado de Gompertz.</w:t>
      </w:r>
      <w:r w:rsidR="00843B43" w:rsidRPr="00686018">
        <w:rPr>
          <w:rFonts w:ascii="Times New Roman" w:hAnsi="Times New Roman" w:cs="Times New Roman"/>
          <w:sz w:val="24"/>
          <w:lang w:eastAsia="es-EC"/>
        </w:rPr>
        <w:t xml:space="preserve"> Resultados similares se obtuvieron al emplear el modelo de Función de Transferencia mismo que presento valores de RCME de 5.377 a 9.300 y R</w:t>
      </w:r>
      <w:r w:rsidR="00843B43" w:rsidRPr="00686018">
        <w:rPr>
          <w:rFonts w:ascii="Times New Roman" w:hAnsi="Times New Roman" w:cs="Times New Roman"/>
          <w:sz w:val="24"/>
          <w:vertAlign w:val="superscript"/>
          <w:lang w:eastAsia="es-EC"/>
        </w:rPr>
        <w:t>2</w:t>
      </w:r>
      <w:r w:rsidR="00843B43" w:rsidRPr="00686018">
        <w:rPr>
          <w:rFonts w:ascii="Times New Roman" w:hAnsi="Times New Roman" w:cs="Times New Roman"/>
          <w:sz w:val="24"/>
          <w:lang w:eastAsia="es-EC"/>
        </w:rPr>
        <w:t xml:space="preserve"> = 0.966 a 0.997. Estos dos modelos se ajustaron mejor a los datos experimentales.</w:t>
      </w:r>
      <w:r w:rsidR="00164EFB" w:rsidRPr="00686018">
        <w:rPr>
          <w:rFonts w:ascii="Times New Roman" w:hAnsi="Times New Roman" w:cs="Times New Roman"/>
          <w:sz w:val="24"/>
          <w:lang w:eastAsia="es-EC"/>
        </w:rPr>
        <w:t xml:space="preserve"> </w:t>
      </w:r>
      <w:r w:rsidR="00843B43" w:rsidRPr="00686018">
        <w:rPr>
          <w:rFonts w:ascii="Times New Roman" w:hAnsi="Times New Roman" w:cs="Times New Roman"/>
          <w:sz w:val="24"/>
          <w:lang w:eastAsia="es-EC"/>
        </w:rPr>
        <w:t>Por otro lado</w:t>
      </w:r>
      <w:r w:rsidR="00164EFB" w:rsidRPr="00686018">
        <w:rPr>
          <w:rFonts w:ascii="Times New Roman" w:hAnsi="Times New Roman" w:cs="Times New Roman"/>
          <w:sz w:val="24"/>
          <w:lang w:eastAsia="es-EC"/>
        </w:rPr>
        <w:t>, valores bajos de RCME de 4.</w:t>
      </w:r>
      <w:r w:rsidR="00843B43" w:rsidRPr="00686018">
        <w:rPr>
          <w:rFonts w:ascii="Times New Roman" w:hAnsi="Times New Roman" w:cs="Times New Roman"/>
          <w:sz w:val="24"/>
          <w:lang w:eastAsia="es-EC"/>
        </w:rPr>
        <w:t xml:space="preserve">104 a </w:t>
      </w:r>
      <w:r w:rsidR="00164EFB" w:rsidRPr="00686018">
        <w:rPr>
          <w:rFonts w:ascii="Times New Roman" w:hAnsi="Times New Roman" w:cs="Times New Roman"/>
          <w:sz w:val="24"/>
          <w:lang w:eastAsia="es-EC"/>
        </w:rPr>
        <w:t>12.989 y un rango de R</w:t>
      </w:r>
      <w:r w:rsidR="00843B43" w:rsidRPr="00686018">
        <w:rPr>
          <w:rFonts w:ascii="Times New Roman" w:hAnsi="Times New Roman" w:cs="Times New Roman"/>
          <w:sz w:val="24"/>
          <w:vertAlign w:val="superscript"/>
          <w:lang w:eastAsia="es-EC"/>
        </w:rPr>
        <w:t>2</w:t>
      </w:r>
      <w:r w:rsidR="00164EFB" w:rsidRPr="00686018">
        <w:rPr>
          <w:rFonts w:ascii="Times New Roman" w:hAnsi="Times New Roman" w:cs="Times New Roman"/>
          <w:sz w:val="24"/>
          <w:lang w:eastAsia="es-EC"/>
        </w:rPr>
        <w:t xml:space="preserve"> de 0.950 a 0.997 fueron identificados cu</w:t>
      </w:r>
      <w:r w:rsidR="00843B43" w:rsidRPr="00686018">
        <w:rPr>
          <w:rFonts w:ascii="Times New Roman" w:hAnsi="Times New Roman" w:cs="Times New Roman"/>
          <w:sz w:val="24"/>
          <w:lang w:eastAsia="es-EC"/>
        </w:rPr>
        <w:t>a</w:t>
      </w:r>
      <w:r w:rsidR="00164EFB" w:rsidRPr="00686018">
        <w:rPr>
          <w:rFonts w:ascii="Times New Roman" w:hAnsi="Times New Roman" w:cs="Times New Roman"/>
          <w:sz w:val="24"/>
          <w:lang w:eastAsia="es-EC"/>
        </w:rPr>
        <w:t xml:space="preserve">ndo se </w:t>
      </w:r>
      <w:r w:rsidR="00843B43" w:rsidRPr="00686018">
        <w:rPr>
          <w:rFonts w:ascii="Times New Roman" w:hAnsi="Times New Roman" w:cs="Times New Roman"/>
          <w:sz w:val="24"/>
          <w:lang w:eastAsia="es-EC"/>
        </w:rPr>
        <w:t>empleó</w:t>
      </w:r>
      <w:r w:rsidR="00164EFB" w:rsidRPr="00686018">
        <w:rPr>
          <w:rFonts w:ascii="Times New Roman" w:hAnsi="Times New Roman" w:cs="Times New Roman"/>
          <w:sz w:val="24"/>
          <w:lang w:eastAsia="es-EC"/>
        </w:rPr>
        <w:t xml:space="preserve"> el modelo </w:t>
      </w:r>
      <w:r w:rsidR="00843B43" w:rsidRPr="00686018">
        <w:rPr>
          <w:rFonts w:ascii="Times New Roman" w:hAnsi="Times New Roman" w:cs="Times New Roman"/>
          <w:sz w:val="24"/>
          <w:lang w:eastAsia="es-EC"/>
        </w:rPr>
        <w:t>cinético de Primer orden</w:t>
      </w:r>
      <w:r w:rsidR="00F2417E" w:rsidRPr="00686018">
        <w:rPr>
          <w:rFonts w:ascii="Times New Roman" w:hAnsi="Times New Roman" w:cs="Times New Roman"/>
          <w:sz w:val="24"/>
          <w:lang w:eastAsia="es-EC"/>
        </w:rPr>
        <w:t xml:space="preserve">, sugiriendo que el modelo de primer orden es adecuado para representar los datos experimentales y proveer el parámetro </w:t>
      </w:r>
      <w:r w:rsidR="00157A79" w:rsidRPr="00686018">
        <w:rPr>
          <w:rFonts w:ascii="Times New Roman" w:hAnsi="Times New Roman" w:cs="Times New Roman"/>
          <w:sz w:val="24"/>
          <w:lang w:eastAsia="es-EC"/>
        </w:rPr>
        <w:t>K de manera precisa en comparación al modelo del Cono que presento valores bajos de R</w:t>
      </w:r>
      <w:r w:rsidR="00157A79" w:rsidRPr="00686018">
        <w:rPr>
          <w:rFonts w:ascii="Times New Roman" w:hAnsi="Times New Roman" w:cs="Times New Roman"/>
          <w:sz w:val="24"/>
          <w:vertAlign w:val="superscript"/>
          <w:lang w:eastAsia="es-EC"/>
        </w:rPr>
        <w:t>2</w:t>
      </w:r>
      <w:r w:rsidR="00157A79" w:rsidRPr="00686018">
        <w:rPr>
          <w:rFonts w:ascii="Times New Roman" w:hAnsi="Times New Roman" w:cs="Times New Roman"/>
          <w:sz w:val="24"/>
          <w:lang w:eastAsia="es-EC"/>
        </w:rPr>
        <w:t>.</w:t>
      </w:r>
    </w:p>
    <w:p w:rsidR="00F61D6A" w:rsidRPr="00686018" w:rsidRDefault="00157A79" w:rsidP="00A31608">
      <w:pPr>
        <w:spacing w:before="360" w:after="360"/>
        <w:jc w:val="both"/>
        <w:rPr>
          <w:rFonts w:ascii="Times New Roman" w:hAnsi="Times New Roman" w:cs="Times New Roman"/>
          <w:color w:val="FF0000"/>
          <w:sz w:val="24"/>
          <w:lang w:eastAsia="es-EC"/>
        </w:rPr>
      </w:pPr>
      <w:r w:rsidRPr="00686018">
        <w:rPr>
          <w:rFonts w:ascii="Times New Roman" w:hAnsi="Times New Roman" w:cs="Times New Roman"/>
          <w:sz w:val="24"/>
          <w:lang w:eastAsia="es-EC"/>
        </w:rPr>
        <w:t xml:space="preserve">Las </w:t>
      </w:r>
      <w:r w:rsidRPr="003C73FA">
        <w:rPr>
          <w:rFonts w:ascii="Times New Roman" w:hAnsi="Times New Roman" w:cs="Times New Roman"/>
          <w:b/>
          <w:sz w:val="24"/>
          <w:lang w:eastAsia="es-EC"/>
        </w:rPr>
        <w:t xml:space="preserve">figuras </w:t>
      </w:r>
      <w:r w:rsidR="003B5D20" w:rsidRPr="003C73FA">
        <w:rPr>
          <w:rFonts w:ascii="Times New Roman" w:hAnsi="Times New Roman" w:cs="Times New Roman"/>
          <w:b/>
          <w:sz w:val="24"/>
          <w:lang w:eastAsia="es-EC"/>
        </w:rPr>
        <w:t>2</w:t>
      </w:r>
      <w:r w:rsidR="003C73FA" w:rsidRPr="003C73FA">
        <w:rPr>
          <w:rFonts w:ascii="Times New Roman" w:hAnsi="Times New Roman" w:cs="Times New Roman"/>
          <w:b/>
          <w:sz w:val="24"/>
          <w:lang w:eastAsia="es-EC"/>
        </w:rPr>
        <w:t>3</w:t>
      </w:r>
      <w:r w:rsidR="003C73FA">
        <w:rPr>
          <w:rFonts w:ascii="Times New Roman" w:hAnsi="Times New Roman" w:cs="Times New Roman"/>
          <w:sz w:val="24"/>
          <w:lang w:eastAsia="es-EC"/>
        </w:rPr>
        <w:t xml:space="preserve"> a </w:t>
      </w:r>
      <w:r w:rsidR="003C73FA" w:rsidRPr="003C73FA">
        <w:rPr>
          <w:rFonts w:ascii="Times New Roman" w:hAnsi="Times New Roman" w:cs="Times New Roman"/>
          <w:b/>
          <w:sz w:val="24"/>
          <w:lang w:eastAsia="es-EC"/>
        </w:rPr>
        <w:t>25</w:t>
      </w:r>
      <w:r w:rsidRPr="00686018">
        <w:rPr>
          <w:rFonts w:ascii="Times New Roman" w:hAnsi="Times New Roman" w:cs="Times New Roman"/>
          <w:sz w:val="24"/>
          <w:lang w:eastAsia="es-EC"/>
        </w:rPr>
        <w:t xml:space="preserve"> ilustran los ajustes de los modelos cinéticos con el valor más alto de R</w:t>
      </w:r>
      <w:r w:rsidRPr="00686018">
        <w:rPr>
          <w:rFonts w:ascii="Times New Roman" w:hAnsi="Times New Roman" w:cs="Times New Roman"/>
          <w:sz w:val="24"/>
          <w:vertAlign w:val="superscript"/>
          <w:lang w:eastAsia="es-EC"/>
        </w:rPr>
        <w:t>2</w:t>
      </w:r>
      <w:r w:rsidR="0084667C" w:rsidRPr="00686018">
        <w:rPr>
          <w:rFonts w:ascii="Times New Roman" w:hAnsi="Times New Roman" w:cs="Times New Roman"/>
          <w:sz w:val="24"/>
          <w:lang w:eastAsia="es-EC"/>
        </w:rPr>
        <w:t xml:space="preserve"> junto con su correspondiente experimento y tratamiento. L</w:t>
      </w:r>
      <w:r w:rsidR="00F61D6A" w:rsidRPr="00686018">
        <w:rPr>
          <w:rFonts w:ascii="Times New Roman" w:hAnsi="Times New Roman" w:cs="Times New Roman"/>
          <w:sz w:val="24"/>
          <w:lang w:eastAsia="es-EC"/>
        </w:rPr>
        <w:t xml:space="preserve">os </w:t>
      </w:r>
      <w:r w:rsidR="0084667C" w:rsidRPr="00686018">
        <w:rPr>
          <w:rFonts w:ascii="Times New Roman" w:hAnsi="Times New Roman" w:cs="Times New Roman"/>
          <w:sz w:val="24"/>
          <w:lang w:eastAsia="es-EC"/>
        </w:rPr>
        <w:t xml:space="preserve">ajustes de los modelos restantes se presentan el </w:t>
      </w:r>
      <w:r w:rsidR="00CC3CB7" w:rsidRPr="00686018">
        <w:rPr>
          <w:rFonts w:ascii="Times New Roman" w:hAnsi="Times New Roman" w:cs="Times New Roman"/>
          <w:b/>
          <w:sz w:val="24"/>
          <w:szCs w:val="24"/>
          <w:lang w:eastAsia="es-EC"/>
        </w:rPr>
        <w:t xml:space="preserve">ANEXO </w:t>
      </w:r>
      <w:r w:rsidR="00C35235" w:rsidRPr="00686018">
        <w:rPr>
          <w:rFonts w:ascii="Times New Roman" w:hAnsi="Times New Roman" w:cs="Times New Roman"/>
          <w:b/>
          <w:sz w:val="24"/>
          <w:szCs w:val="24"/>
          <w:lang w:eastAsia="es-EC"/>
        </w:rPr>
        <w:t>7</w:t>
      </w:r>
      <w:r w:rsidR="002D2B85" w:rsidRPr="00686018">
        <w:rPr>
          <w:rFonts w:ascii="Times New Roman" w:hAnsi="Times New Roman" w:cs="Times New Roman"/>
          <w:sz w:val="24"/>
          <w:szCs w:val="24"/>
          <w:lang w:eastAsia="es-EC"/>
        </w:rPr>
        <w:t>.</w:t>
      </w:r>
    </w:p>
    <w:p w:rsidR="00BE4355" w:rsidRPr="00686018" w:rsidRDefault="00EA2221" w:rsidP="00B46DDC">
      <w:pPr>
        <w:jc w:val="center"/>
        <w:rPr>
          <w:rFonts w:ascii="Times New Roman" w:hAnsi="Times New Roman" w:cs="Times New Roman"/>
          <w:sz w:val="18"/>
        </w:rPr>
      </w:pPr>
      <w:r w:rsidRPr="00686018">
        <w:rPr>
          <w:rFonts w:ascii="Times New Roman" w:hAnsi="Times New Roman" w:cs="Times New Roman"/>
          <w:noProof/>
          <w:lang w:eastAsia="es-EC"/>
        </w:rPr>
        <w:lastRenderedPageBreak/>
        <w:drawing>
          <wp:inline distT="0" distB="0" distL="0" distR="0" wp14:anchorId="06DA1114" wp14:editId="76CDF23F">
            <wp:extent cx="5075996" cy="367886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96828" cy="3693963"/>
                    </a:xfrm>
                    <a:prstGeom prst="rect">
                      <a:avLst/>
                    </a:prstGeom>
                  </pic:spPr>
                </pic:pic>
              </a:graphicData>
            </a:graphic>
          </wp:inline>
        </w:drawing>
      </w:r>
    </w:p>
    <w:p w:rsidR="00BE4355" w:rsidRPr="00686018" w:rsidRDefault="00B639AA" w:rsidP="00B46DDC">
      <w:pPr>
        <w:pStyle w:val="Descripcin"/>
        <w:jc w:val="center"/>
        <w:rPr>
          <w:rFonts w:ascii="Times New Roman" w:hAnsi="Times New Roman" w:cs="Times New Roman"/>
          <w:i w:val="0"/>
          <w:color w:val="auto"/>
        </w:rPr>
      </w:pPr>
      <w:bookmarkStart w:id="247" w:name="_Toc9537891"/>
      <w:r>
        <w:rPr>
          <w:rFonts w:ascii="Times New Roman" w:hAnsi="Times New Roman" w:cs="Times New Roman"/>
          <w:b/>
          <w:i w:val="0"/>
          <w:color w:val="auto"/>
        </w:rPr>
        <w:t>Figura</w:t>
      </w:r>
      <w:r w:rsidR="00BE4355" w:rsidRPr="00686018">
        <w:rPr>
          <w:rFonts w:ascii="Times New Roman" w:hAnsi="Times New Roman" w:cs="Times New Roman"/>
          <w:b/>
          <w:i w:val="0"/>
          <w:color w:val="auto"/>
        </w:rPr>
        <w:t xml:space="preserve"> </w:t>
      </w:r>
      <w:r w:rsidR="00BE4355" w:rsidRPr="00686018">
        <w:rPr>
          <w:rFonts w:ascii="Times New Roman" w:hAnsi="Times New Roman" w:cs="Times New Roman"/>
          <w:b/>
          <w:i w:val="0"/>
          <w:color w:val="auto"/>
        </w:rPr>
        <w:fldChar w:fldCharType="begin"/>
      </w:r>
      <w:r w:rsidR="00BE4355" w:rsidRPr="00686018">
        <w:rPr>
          <w:rFonts w:ascii="Times New Roman" w:hAnsi="Times New Roman" w:cs="Times New Roman"/>
          <w:b/>
          <w:i w:val="0"/>
          <w:color w:val="auto"/>
        </w:rPr>
        <w:instrText xml:space="preserve"> SEQ Figure \* ARABIC </w:instrText>
      </w:r>
      <w:r w:rsidR="00BE4355"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23</w:t>
      </w:r>
      <w:r w:rsidR="00BE4355" w:rsidRPr="00686018">
        <w:rPr>
          <w:rFonts w:ascii="Times New Roman" w:hAnsi="Times New Roman" w:cs="Times New Roman"/>
          <w:b/>
          <w:i w:val="0"/>
          <w:color w:val="auto"/>
        </w:rPr>
        <w:fldChar w:fldCharType="end"/>
      </w:r>
      <w:r w:rsidR="00BE4355" w:rsidRPr="00686018">
        <w:rPr>
          <w:rFonts w:ascii="Times New Roman" w:hAnsi="Times New Roman" w:cs="Times New Roman"/>
          <w:i w:val="0"/>
          <w:color w:val="auto"/>
        </w:rPr>
        <w:t>. Ajuste del modelo de Transferencia para una razón I:S - 2:1.</w:t>
      </w:r>
      <w:bookmarkEnd w:id="247"/>
    </w:p>
    <w:p w:rsidR="00BE4355" w:rsidRPr="00686018" w:rsidRDefault="00BE4355"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BE4355" w:rsidRPr="00686018" w:rsidRDefault="00563E44" w:rsidP="00B46DDC">
      <w:pPr>
        <w:spacing w:before="360" w:after="360"/>
        <w:jc w:val="center"/>
        <w:rPr>
          <w:rFonts w:ascii="Times New Roman" w:hAnsi="Times New Roman" w:cs="Times New Roman"/>
          <w:color w:val="FF0000"/>
          <w:sz w:val="24"/>
          <w:lang w:eastAsia="es-EC"/>
        </w:rPr>
      </w:pPr>
      <w:r w:rsidRPr="00686018">
        <w:rPr>
          <w:rFonts w:ascii="Times New Roman" w:hAnsi="Times New Roman" w:cs="Times New Roman"/>
          <w:noProof/>
          <w:lang w:eastAsia="es-EC"/>
        </w:rPr>
        <w:drawing>
          <wp:inline distT="0" distB="0" distL="0" distR="0" wp14:anchorId="55D34DC0" wp14:editId="265AAA20">
            <wp:extent cx="4810020" cy="3370520"/>
            <wp:effectExtent l="0" t="0" r="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41397" cy="3392507"/>
                    </a:xfrm>
                    <a:prstGeom prst="rect">
                      <a:avLst/>
                    </a:prstGeom>
                  </pic:spPr>
                </pic:pic>
              </a:graphicData>
            </a:graphic>
          </wp:inline>
        </w:drawing>
      </w:r>
    </w:p>
    <w:p w:rsidR="00BE4355" w:rsidRPr="00686018" w:rsidRDefault="00B639AA" w:rsidP="00B46DDC">
      <w:pPr>
        <w:pStyle w:val="Descripcin"/>
        <w:jc w:val="center"/>
        <w:rPr>
          <w:rFonts w:ascii="Times New Roman" w:hAnsi="Times New Roman" w:cs="Times New Roman"/>
          <w:i w:val="0"/>
          <w:color w:val="auto"/>
        </w:rPr>
      </w:pPr>
      <w:bookmarkStart w:id="248" w:name="_Toc9537892"/>
      <w:r>
        <w:rPr>
          <w:rFonts w:ascii="Times New Roman" w:hAnsi="Times New Roman" w:cs="Times New Roman"/>
          <w:b/>
          <w:i w:val="0"/>
          <w:color w:val="auto"/>
        </w:rPr>
        <w:t>Figura</w:t>
      </w:r>
      <w:r w:rsidR="00BE4355" w:rsidRPr="00686018">
        <w:rPr>
          <w:rFonts w:ascii="Times New Roman" w:hAnsi="Times New Roman" w:cs="Times New Roman"/>
          <w:b/>
          <w:i w:val="0"/>
          <w:color w:val="auto"/>
        </w:rPr>
        <w:t xml:space="preserve"> </w:t>
      </w:r>
      <w:r w:rsidR="00BE4355" w:rsidRPr="00686018">
        <w:rPr>
          <w:rFonts w:ascii="Times New Roman" w:hAnsi="Times New Roman" w:cs="Times New Roman"/>
          <w:b/>
          <w:i w:val="0"/>
          <w:color w:val="auto"/>
        </w:rPr>
        <w:fldChar w:fldCharType="begin"/>
      </w:r>
      <w:r w:rsidR="00BE4355" w:rsidRPr="00686018">
        <w:rPr>
          <w:rFonts w:ascii="Times New Roman" w:hAnsi="Times New Roman" w:cs="Times New Roman"/>
          <w:b/>
          <w:i w:val="0"/>
          <w:color w:val="auto"/>
        </w:rPr>
        <w:instrText xml:space="preserve"> SEQ Figure \* ARABIC </w:instrText>
      </w:r>
      <w:r w:rsidR="00BE4355"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24</w:t>
      </w:r>
      <w:r w:rsidR="00BE4355" w:rsidRPr="00686018">
        <w:rPr>
          <w:rFonts w:ascii="Times New Roman" w:hAnsi="Times New Roman" w:cs="Times New Roman"/>
          <w:b/>
          <w:i w:val="0"/>
          <w:color w:val="auto"/>
        </w:rPr>
        <w:fldChar w:fldCharType="end"/>
      </w:r>
      <w:r w:rsidR="00BE4355" w:rsidRPr="00686018">
        <w:rPr>
          <w:rFonts w:ascii="Times New Roman" w:hAnsi="Times New Roman" w:cs="Times New Roman"/>
          <w:b/>
          <w:i w:val="0"/>
          <w:color w:val="auto"/>
        </w:rPr>
        <w:t>.</w:t>
      </w:r>
      <w:r w:rsidR="00BE4355" w:rsidRPr="00686018">
        <w:rPr>
          <w:rFonts w:ascii="Times New Roman" w:hAnsi="Times New Roman" w:cs="Times New Roman"/>
          <w:i w:val="0"/>
          <w:color w:val="auto"/>
        </w:rPr>
        <w:t xml:space="preserve"> Ajuste del modelo de Trasferencia para una razón I:S - 1:1</w:t>
      </w:r>
      <w:bookmarkEnd w:id="248"/>
    </w:p>
    <w:p w:rsidR="00BE4355" w:rsidRPr="00686018" w:rsidRDefault="00BE4355" w:rsidP="00B46DDC">
      <w:pPr>
        <w:spacing w:after="360"/>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9F2EFD" w:rsidRPr="00686018" w:rsidRDefault="00EB0E5E" w:rsidP="00B46DDC">
      <w:pPr>
        <w:jc w:val="center"/>
        <w:rPr>
          <w:rFonts w:ascii="Times New Roman" w:hAnsi="Times New Roman" w:cs="Times New Roman"/>
          <w:sz w:val="24"/>
          <w:lang w:eastAsia="es-EC"/>
        </w:rPr>
      </w:pPr>
      <w:r w:rsidRPr="00686018">
        <w:rPr>
          <w:rFonts w:ascii="Times New Roman" w:hAnsi="Times New Roman" w:cs="Times New Roman"/>
          <w:noProof/>
          <w:lang w:eastAsia="es-EC"/>
        </w:rPr>
        <w:lastRenderedPageBreak/>
        <w:drawing>
          <wp:inline distT="0" distB="0" distL="0" distR="0" wp14:anchorId="7F3D4C43" wp14:editId="6DA3A0D8">
            <wp:extent cx="4926741" cy="3466214"/>
            <wp:effectExtent l="0" t="0" r="762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42862" cy="3477556"/>
                    </a:xfrm>
                    <a:prstGeom prst="rect">
                      <a:avLst/>
                    </a:prstGeom>
                  </pic:spPr>
                </pic:pic>
              </a:graphicData>
            </a:graphic>
          </wp:inline>
        </w:drawing>
      </w:r>
    </w:p>
    <w:p w:rsidR="00F61D6A" w:rsidRPr="00686018" w:rsidRDefault="00B639AA" w:rsidP="00B46DDC">
      <w:pPr>
        <w:pStyle w:val="Descripcin"/>
        <w:jc w:val="center"/>
        <w:rPr>
          <w:rFonts w:ascii="Times New Roman" w:hAnsi="Times New Roman" w:cs="Times New Roman"/>
          <w:i w:val="0"/>
          <w:noProof/>
          <w:color w:val="auto"/>
        </w:rPr>
      </w:pPr>
      <w:bookmarkStart w:id="249" w:name="_Toc9537893"/>
      <w:r>
        <w:rPr>
          <w:rFonts w:ascii="Times New Roman" w:hAnsi="Times New Roman" w:cs="Times New Roman"/>
          <w:b/>
          <w:i w:val="0"/>
          <w:color w:val="auto"/>
        </w:rPr>
        <w:t>Figura</w:t>
      </w:r>
      <w:r w:rsidR="00F61D6A" w:rsidRPr="00686018">
        <w:rPr>
          <w:rFonts w:ascii="Times New Roman" w:hAnsi="Times New Roman" w:cs="Times New Roman"/>
          <w:b/>
          <w:i w:val="0"/>
          <w:color w:val="auto"/>
        </w:rPr>
        <w:t xml:space="preserve"> </w:t>
      </w:r>
      <w:r w:rsidR="00F61D6A" w:rsidRPr="00686018">
        <w:rPr>
          <w:rFonts w:ascii="Times New Roman" w:hAnsi="Times New Roman" w:cs="Times New Roman"/>
          <w:b/>
          <w:i w:val="0"/>
          <w:color w:val="auto"/>
        </w:rPr>
        <w:fldChar w:fldCharType="begin"/>
      </w:r>
      <w:r w:rsidR="00F61D6A" w:rsidRPr="00686018">
        <w:rPr>
          <w:rFonts w:ascii="Times New Roman" w:hAnsi="Times New Roman" w:cs="Times New Roman"/>
          <w:b/>
          <w:i w:val="0"/>
          <w:color w:val="auto"/>
        </w:rPr>
        <w:instrText xml:space="preserve"> SEQ Figure \* ARABIC </w:instrText>
      </w:r>
      <w:r w:rsidR="00F61D6A"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25</w:t>
      </w:r>
      <w:r w:rsidR="00F61D6A" w:rsidRPr="00686018">
        <w:rPr>
          <w:rFonts w:ascii="Times New Roman" w:hAnsi="Times New Roman" w:cs="Times New Roman"/>
          <w:b/>
          <w:i w:val="0"/>
          <w:color w:val="auto"/>
        </w:rPr>
        <w:fldChar w:fldCharType="end"/>
      </w:r>
      <w:r w:rsidR="00F61D6A" w:rsidRPr="00686018">
        <w:rPr>
          <w:rFonts w:ascii="Times New Roman" w:hAnsi="Times New Roman" w:cs="Times New Roman"/>
          <w:b/>
          <w:i w:val="0"/>
          <w:color w:val="auto"/>
        </w:rPr>
        <w:t>.</w:t>
      </w:r>
      <w:r w:rsidR="00F61D6A" w:rsidRPr="00686018">
        <w:rPr>
          <w:rFonts w:ascii="Times New Roman" w:hAnsi="Times New Roman" w:cs="Times New Roman"/>
          <w:i w:val="0"/>
          <w:color w:val="auto"/>
        </w:rPr>
        <w:t xml:space="preserve"> Ajuste del Modelo Modificado de Gompertz</w:t>
      </w:r>
      <w:r w:rsidR="00F61D6A" w:rsidRPr="00686018">
        <w:rPr>
          <w:rFonts w:ascii="Times New Roman" w:hAnsi="Times New Roman" w:cs="Times New Roman"/>
          <w:i w:val="0"/>
          <w:noProof/>
          <w:color w:val="auto"/>
        </w:rPr>
        <w:t xml:space="preserve"> para una razon I:S - 1:2.</w:t>
      </w:r>
      <w:bookmarkEnd w:id="249"/>
    </w:p>
    <w:p w:rsidR="00F61D6A" w:rsidRPr="00686018" w:rsidRDefault="00F61D6A"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157A79" w:rsidRPr="00686018" w:rsidRDefault="00157A79" w:rsidP="00A31608">
      <w:pPr>
        <w:pStyle w:val="Ttulo4"/>
        <w:numPr>
          <w:ilvl w:val="2"/>
          <w:numId w:val="4"/>
        </w:numPr>
        <w:ind w:left="505" w:hanging="505"/>
        <w:jc w:val="both"/>
        <w:rPr>
          <w:rFonts w:ascii="Times New Roman" w:hAnsi="Times New Roman" w:cs="Times New Roman"/>
          <w:i w:val="0"/>
          <w:u w:val="none"/>
          <w:lang w:eastAsia="es-EC"/>
        </w:rPr>
      </w:pPr>
      <w:bookmarkStart w:id="250" w:name="_Toc9537854"/>
      <w:r w:rsidRPr="00686018">
        <w:rPr>
          <w:rFonts w:ascii="Times New Roman" w:hAnsi="Times New Roman" w:cs="Times New Roman"/>
          <w:i w:val="0"/>
          <w:u w:val="none"/>
          <w:lang w:eastAsia="es-EC"/>
        </w:rPr>
        <w:t>Parámetros estimados de los modelos cinéticos</w:t>
      </w:r>
      <w:bookmarkEnd w:id="250"/>
      <w:r w:rsidRPr="00686018">
        <w:rPr>
          <w:rFonts w:ascii="Times New Roman" w:hAnsi="Times New Roman" w:cs="Times New Roman"/>
          <w:i w:val="0"/>
          <w:u w:val="none"/>
          <w:lang w:eastAsia="es-EC"/>
        </w:rPr>
        <w:t xml:space="preserve"> </w:t>
      </w:r>
    </w:p>
    <w:p w:rsidR="00FF23F8" w:rsidRPr="00686018" w:rsidRDefault="009F6058" w:rsidP="00A31608">
      <w:pPr>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Valores casi similares del rendimiento de metano podrían ser estimados para los experimentos I:S-2:1, I:S-1:1 e I:S-1:2 por el Modelo de </w:t>
      </w:r>
      <w:r w:rsidR="00DD0237" w:rsidRPr="00686018">
        <w:rPr>
          <w:rFonts w:ascii="Times New Roman" w:hAnsi="Times New Roman" w:cs="Times New Roman"/>
          <w:sz w:val="24"/>
          <w:lang w:eastAsia="es-EC"/>
        </w:rPr>
        <w:t>modificado de Gompertz (tabla 15</w:t>
      </w:r>
      <w:r w:rsidRPr="00686018">
        <w:rPr>
          <w:rFonts w:ascii="Times New Roman" w:hAnsi="Times New Roman" w:cs="Times New Roman"/>
          <w:sz w:val="24"/>
          <w:lang w:eastAsia="es-EC"/>
        </w:rPr>
        <w:t>) y el m</w:t>
      </w:r>
      <w:r w:rsidR="003B5D20" w:rsidRPr="00686018">
        <w:rPr>
          <w:rFonts w:ascii="Times New Roman" w:hAnsi="Times New Roman" w:cs="Times New Roman"/>
          <w:sz w:val="24"/>
          <w:lang w:eastAsia="es-EC"/>
        </w:rPr>
        <w:t>odelo de Transf</w:t>
      </w:r>
      <w:r w:rsidR="00DD0237" w:rsidRPr="00686018">
        <w:rPr>
          <w:rFonts w:ascii="Times New Roman" w:hAnsi="Times New Roman" w:cs="Times New Roman"/>
          <w:sz w:val="24"/>
          <w:lang w:eastAsia="es-EC"/>
        </w:rPr>
        <w:t>erencia (tabla 18</w:t>
      </w:r>
      <w:r w:rsidRPr="00686018">
        <w:rPr>
          <w:rFonts w:ascii="Times New Roman" w:hAnsi="Times New Roman" w:cs="Times New Roman"/>
          <w:sz w:val="24"/>
          <w:lang w:eastAsia="es-EC"/>
        </w:rPr>
        <w:t>). Estos modelos tuvieron el mejor ajuste para el RMA (R</w:t>
      </w:r>
      <w:r w:rsidRPr="00686018">
        <w:rPr>
          <w:rFonts w:ascii="Times New Roman" w:hAnsi="Times New Roman" w:cs="Times New Roman"/>
          <w:sz w:val="24"/>
          <w:vertAlign w:val="superscript"/>
          <w:lang w:eastAsia="es-EC"/>
        </w:rPr>
        <w:t>2</w:t>
      </w:r>
      <w:r w:rsidRPr="00686018">
        <w:rPr>
          <w:rFonts w:ascii="Times New Roman" w:hAnsi="Times New Roman" w:cs="Times New Roman"/>
          <w:sz w:val="24"/>
          <w:lang w:eastAsia="es-EC"/>
        </w:rPr>
        <w:t xml:space="preserve">=0.966-0.997) y una desviación del RMA entre el medido y el estimado menor al 3% y 6% respectivamente. Las bajas desviaciones entre el metano acumulado medido y estimado </w:t>
      </w:r>
      <w:r w:rsidR="00B16214" w:rsidRPr="00686018">
        <w:rPr>
          <w:rFonts w:ascii="Times New Roman" w:hAnsi="Times New Roman" w:cs="Times New Roman"/>
          <w:sz w:val="24"/>
          <w:lang w:eastAsia="es-EC"/>
        </w:rPr>
        <w:t>indican</w:t>
      </w:r>
      <w:r w:rsidRPr="00686018">
        <w:rPr>
          <w:rFonts w:ascii="Times New Roman" w:hAnsi="Times New Roman" w:cs="Times New Roman"/>
          <w:sz w:val="24"/>
          <w:lang w:eastAsia="es-EC"/>
        </w:rPr>
        <w:t xml:space="preserve"> que estos modelos predicen el comportamiento en los reactores de manera precisa; </w:t>
      </w:r>
      <w:r w:rsidR="00D96D6E" w:rsidRPr="00686018">
        <w:rPr>
          <w:rFonts w:ascii="Times New Roman" w:hAnsi="Times New Roman" w:cs="Times New Roman"/>
          <w:sz w:val="24"/>
          <w:lang w:eastAsia="es-EC"/>
        </w:rPr>
        <w:fldChar w:fldCharType="begin" w:fldLock="1"/>
      </w:r>
      <w:r w:rsidR="00F776E5" w:rsidRPr="00686018">
        <w:rPr>
          <w:rFonts w:ascii="Times New Roman" w:hAnsi="Times New Roman" w:cs="Times New Roman"/>
          <w:sz w:val="24"/>
          <w:lang w:eastAsia="es-EC"/>
        </w:rPr>
        <w:instrText>ADDIN CSL_CITATION {"citationItems":[{"id":"ITEM-1","itemData":{"DOI":"10.1016/j.cej.2008.10.001","ISSN":"13858947","abstract":"A study of the anaerobic digestion of the solid waste generated in the extraction process of sunflower oil (sunflower oil cake, SuOC) was conducted at mesophilic temperature (35 °C) in batch mode. A laboratory-scale multi-reactor system was used to compare the volatile solids (VS) degradation and methane production (G) at inoculum-substrate ratios (ISRs) of 3.0, 2.0, 1.5, 1.0, 0.8 and 0.5 (expressed as VS basis). All tests were carried out against controls of inoculum without substrate. The stability and progress of the reaction from solid substrate to methane as an end product was monitored by measuring the pH, the soluble chemical oxygen demand, and the total volatile fatty acids-total alkalinity (TVFA/TA) ratio. The results obtained demonstrated that in the ISR range from 3.0 to 0.8, the pH ranged from 7.1 to 7.6 and this parameter was always stable during the anaerobic digestion process. In addition, within the above ISR range the TVFA/TA ratios were always lower than the failure limit values (0.3-0.4), which demonstrated the high stability of the anaerobic digestion process of this substrate at mesophilic temperature. Two kinetic models for substrate (VS) degradation and methane production were proposed and evaluated. The apparent kinetic constants for volatile solids degradation (K1) and methane production (K2) decreased from 0.54 ± 0.09 to 0.32 ± 0.03 d-1 and from 0.36 ± 0.04 to 0.16 ± 0.03 d-1, respectively, when the ISR decreased from 3.0 to 0.5, showing the occurrence of an inhibition phenomenon by substrate concentration. The kinetic equations obtained were used to simulate the anaerobic digestion process of SuOC and to obtain the theoretical VS and methane production values. The low deviations obtained (equal to or lower than 10%) between the theoretical and experimental values suggest that the proposed models predict the behaviour of the reactors very accurately. © 2008 Elsevier B.V. All rights reserved.","author":[{"dropping-particle":"","family":"Raposo","given":"F.","non-dropping-particle":"","parse-names":false,"suffix":""},{"dropping-particle":"","family":"Borja","given":"R.","non-dropping-particle":"","parse-names":false,"suffix":""},{"dropping-particle":"","family":"Martín","given":"M. A.","non-dropping-particle":"","parse-names":false,"suffix":""},{"dropping-particle":"","family":"Martín","given":"A.","non-dropping-particle":"","parse-names":false,"suffix":""},{"dropping-particle":"","family":"la Rubia","given":"M. A.","non-dropping-particle":"de","parse-names":false,"suffix":""},{"dropping-particle":"","family":"Rincón","given":"B.","non-dropping-particle":"","parse-names":false,"suffix":""}],"container-title":"Chemical Engineering Journal","id":"ITEM-1","issue":"1-3","issued":{"date-parts":[["2009"]]},"page":"70-77","title":"Influence of inoculum-substrate ratio on the anaerobic digestion of sunflower oil cake in batch mode: Process stability and kinetic evaluation","type":"article-journal","volume":"149"},"uris":["http://www.mendeley.com/documents/?uuid=63c38071-b319-4c0a-87a5-8af3322a1823"]}],"mendeley":{"formattedCitation":"(Raposo et al. 2009)","plainTextFormattedCitation":"(Raposo et al. 2009)","previouslyFormattedCitation":"(Raposo et al. 2009)"},"properties":{"noteIndex":0},"schema":"https://github.com/citation-style-language/schema/raw/master/csl-citation.json"}</w:instrText>
      </w:r>
      <w:r w:rsidR="00D96D6E" w:rsidRPr="00686018">
        <w:rPr>
          <w:rFonts w:ascii="Times New Roman" w:hAnsi="Times New Roman" w:cs="Times New Roman"/>
          <w:sz w:val="24"/>
          <w:lang w:eastAsia="es-EC"/>
        </w:rPr>
        <w:fldChar w:fldCharType="separate"/>
      </w:r>
      <w:r w:rsidR="00D96D6E" w:rsidRPr="00686018">
        <w:rPr>
          <w:rFonts w:ascii="Times New Roman" w:hAnsi="Times New Roman" w:cs="Times New Roman"/>
          <w:noProof/>
          <w:sz w:val="24"/>
          <w:lang w:eastAsia="es-EC"/>
        </w:rPr>
        <w:t xml:space="preserve">(Raposo </w:t>
      </w:r>
      <w:r w:rsidR="00C80D09">
        <w:rPr>
          <w:rFonts w:ascii="Times New Roman" w:hAnsi="Times New Roman" w:cs="Times New Roman"/>
          <w:noProof/>
          <w:sz w:val="24"/>
          <w:lang w:eastAsia="es-EC"/>
        </w:rPr>
        <w:t>et al.,</w:t>
      </w:r>
      <w:r w:rsidR="00D96D6E" w:rsidRPr="00686018">
        <w:rPr>
          <w:rFonts w:ascii="Times New Roman" w:hAnsi="Times New Roman" w:cs="Times New Roman"/>
          <w:noProof/>
          <w:sz w:val="24"/>
          <w:lang w:eastAsia="es-EC"/>
        </w:rPr>
        <w:t xml:space="preserve"> 2009)</w:t>
      </w:r>
      <w:r w:rsidR="00D96D6E" w:rsidRPr="00686018">
        <w:rPr>
          <w:rFonts w:ascii="Times New Roman" w:hAnsi="Times New Roman" w:cs="Times New Roman"/>
          <w:sz w:val="24"/>
          <w:lang w:eastAsia="es-EC"/>
        </w:rPr>
        <w:fldChar w:fldCharType="end"/>
      </w:r>
      <w:r w:rsidRPr="00686018">
        <w:rPr>
          <w:rFonts w:ascii="Times New Roman" w:hAnsi="Times New Roman" w:cs="Times New Roman"/>
          <w:sz w:val="24"/>
          <w:lang w:eastAsia="es-EC"/>
        </w:rPr>
        <w:t xml:space="preserve">, reporto una la desviación de 10% en su investigación. La razón para el mejor ajuste de estos modelos podría ser debido a que RE y TR poseen bajo contenido en proteínas y grasas y contenido más alto en carbohidratos. La conversión de carbohidratos puede ser muy rápida (en pocos días) pero las proteínas y las grasas podrían requerir varias semanas </w:t>
      </w:r>
      <w:r w:rsidR="008E5756" w:rsidRPr="00686018">
        <w:rPr>
          <w:rFonts w:ascii="Times New Roman" w:hAnsi="Times New Roman" w:cs="Times New Roman"/>
          <w:sz w:val="24"/>
          <w:lang w:eastAsia="es-EC"/>
        </w:rPr>
        <w:fldChar w:fldCharType="begin" w:fldLock="1"/>
      </w:r>
      <w:r w:rsidR="00D96D6E" w:rsidRPr="00686018">
        <w:rPr>
          <w:rFonts w:ascii="Times New Roman" w:hAnsi="Times New Roman" w:cs="Times New Roman"/>
          <w:sz w:val="24"/>
          <w:lang w:eastAsia="es-EC"/>
        </w:rPr>
        <w:instrText>ADDIN CSL_CITATION {"citationItems":[{"id":"ITEM-1","itemData":{"DOI":"10.1016/j.wasman.2015.10.021","ISBN":"9781510810501","ISSN":"18792456","PMID":"26531046","abstract":"There is a lack of literature reporting the methane potential of several livestock manures under the same anaerobic digestion conditions (same inoculum, temperature, time, and size of the digester). To the best of our knowledge, no previous study has reported biochemical methane potential (BMP) predicting models developed and evaluated by solely using at least five different livestock manure tests results. The goal of this study was to evaluate the BMP of five different livestock manures (dairy manure (DM), horse manure (HM), goat manure (GM), chicken manure (CM) and swine manure (SM)) and to predict the BMP using different statistical models. Nutrients of the digested different manures were also monitored. The BMP tests were conducted under mesophilic temperatures with a manure loading factor of 3.5g volatile solids (VS)/L and a feed to inoculum ratio (F/I) of 0.5. Single variable and multiple variable regression models were developed using manure total carbohydrate (TC), crude protein (CP), total fat (TF), lignin (LIG) and acid detergent fiber (ADF), and measured BMP data. Three different kinetic models (first order kinetic model, modified Gompertz model and Chen and Hashimoto model) were evaluated for BMP predictions. The BMPs of DM, HM, GM, CM and SM were measured to be 204, 155, 159, 259, and 323mL/g VS, respectively and the VS removals were calculated to be 58.6%, 52.9%, 46.4%, 81.4%, 81.4%, respectively. The technical digestion time (T80-90,time required to produce 80-90% of total biogas production) for DM, HM, GM, CM and SM was calculated to be in the ranges of 19-28, 27-37, 31-44, 13-18, 12-17days, respectively. The effluents from the HM showed the lowest nitrogen, phosphorus and potassium concentrations. The effluents from the CM digesters showed highest nitrogen and phosphorus concentrations and digested SM showed highest potassium concentration. Based on the results of the regression analysis, the model using the variable of LIG showed the best (R2=0.851, p=0.026) for BMP prediction among the single variable models, and the model including variables of TC and TF showed the best prediction for BMPs (R2=0.913, p=0.068-0.075) comparing with other two-variable models, while the model including variables of CP, LIG and ADF performed the best in BMP prediction (R2=0.999, p=0.009-0.017) if three-variable models were compared. Among the three kinetic models used, the first order kinetic model fitted the measured BMPs data best (R2=0.996-0.998, rRMSE…","author":[{"dropping-particle":"","family":"Kafle","given":"Gopi Krishna","non-dropping-particle":"","parse-names":false,"suffix":""},{"dropping-particle":"","family":"Chen","given":"Lide","non-dropping-particle":"","parse-names":false,"suffix":""}],"container-title":"Waste Management","id":"ITEM-1","issued":{"date-parts":[["2016"]]},"page":"492-502","publisher":"Elsevier Ltd","title":"Comparison on batch anaerobic digestion of five different livestock manures and prediction of biochemical methane potential (BMP) using different statistical models","type":"article-journal","volume":"48"},"uris":["http://www.mendeley.com/documents/?uuid=58958762-2363-433b-9365-57fe75a340be"]}],"mendeley":{"formattedCitation":"(Kafle y Chen 2016)","plainTextFormattedCitation":"(Kafle y Chen 2016)","previouslyFormattedCitation":"(Kafle y Chen 2016)"},"properties":{"noteIndex":0},"schema":"https://github.com/citation-style-language/schema/raw/master/csl-citation.json"}</w:instrText>
      </w:r>
      <w:r w:rsidR="008E5756" w:rsidRPr="00686018">
        <w:rPr>
          <w:rFonts w:ascii="Times New Roman" w:hAnsi="Times New Roman" w:cs="Times New Roman"/>
          <w:sz w:val="24"/>
          <w:lang w:eastAsia="es-EC"/>
        </w:rPr>
        <w:fldChar w:fldCharType="separate"/>
      </w:r>
      <w:r w:rsidR="008E5756" w:rsidRPr="00686018">
        <w:rPr>
          <w:rFonts w:ascii="Times New Roman" w:hAnsi="Times New Roman" w:cs="Times New Roman"/>
          <w:noProof/>
          <w:sz w:val="24"/>
          <w:lang w:eastAsia="es-EC"/>
        </w:rPr>
        <w:t>(Kafle y Chen 2016)</w:t>
      </w:r>
      <w:r w:rsidR="008E5756" w:rsidRPr="00686018">
        <w:rPr>
          <w:rFonts w:ascii="Times New Roman" w:hAnsi="Times New Roman" w:cs="Times New Roman"/>
          <w:sz w:val="24"/>
          <w:lang w:eastAsia="es-EC"/>
        </w:rPr>
        <w:fldChar w:fldCharType="end"/>
      </w:r>
      <w:r w:rsidRPr="00686018">
        <w:rPr>
          <w:rFonts w:ascii="Times New Roman" w:hAnsi="Times New Roman" w:cs="Times New Roman"/>
          <w:sz w:val="24"/>
          <w:lang w:eastAsia="es-EC"/>
        </w:rPr>
        <w:t xml:space="preserve">. El contenido </w:t>
      </w:r>
      <w:r w:rsidR="00D000E1" w:rsidRPr="00686018">
        <w:rPr>
          <w:rFonts w:ascii="Times New Roman" w:hAnsi="Times New Roman" w:cs="Times New Roman"/>
          <w:sz w:val="24"/>
          <w:lang w:eastAsia="es-EC"/>
        </w:rPr>
        <w:t xml:space="preserve">de sustrato aun disponible en el inóculo, </w:t>
      </w:r>
      <w:r w:rsidR="00826E1B" w:rsidRPr="00686018">
        <w:rPr>
          <w:rFonts w:ascii="Times New Roman" w:hAnsi="Times New Roman" w:cs="Times New Roman"/>
          <w:sz w:val="24"/>
          <w:lang w:eastAsia="es-EC"/>
        </w:rPr>
        <w:t>justifica</w:t>
      </w:r>
      <w:r w:rsidR="00E81EFA" w:rsidRPr="00686018">
        <w:rPr>
          <w:rFonts w:ascii="Times New Roman" w:hAnsi="Times New Roman" w:cs="Times New Roman"/>
          <w:sz w:val="24"/>
          <w:lang w:eastAsia="es-EC"/>
        </w:rPr>
        <w:t>,</w:t>
      </w:r>
      <w:r w:rsidRPr="00686018">
        <w:rPr>
          <w:rFonts w:ascii="Times New Roman" w:hAnsi="Times New Roman" w:cs="Times New Roman"/>
          <w:sz w:val="24"/>
          <w:lang w:eastAsia="es-EC"/>
        </w:rPr>
        <w:t xml:space="preserve"> además, los valores bajos de las fases de latencia</w:t>
      </w:r>
      <w:r w:rsidR="00D000E1" w:rsidRPr="00686018">
        <w:rPr>
          <w:rFonts w:ascii="Times New Roman" w:hAnsi="Times New Roman" w:cs="Times New Roman"/>
          <w:sz w:val="24"/>
          <w:lang w:eastAsia="es-EC"/>
        </w:rPr>
        <w:t xml:space="preserve"> (fases de latencia negativos)</w:t>
      </w:r>
      <w:r w:rsidRPr="00686018">
        <w:rPr>
          <w:rFonts w:ascii="Times New Roman" w:hAnsi="Times New Roman" w:cs="Times New Roman"/>
          <w:sz w:val="24"/>
          <w:lang w:eastAsia="es-EC"/>
        </w:rPr>
        <w:t xml:space="preserve">. La λ </w:t>
      </w:r>
      <w:r w:rsidR="00C06AEB" w:rsidRPr="00686018">
        <w:rPr>
          <w:rFonts w:ascii="Times New Roman" w:hAnsi="Times New Roman" w:cs="Times New Roman"/>
          <w:sz w:val="24"/>
          <w:lang w:eastAsia="es-EC"/>
        </w:rPr>
        <w:t>y R</w:t>
      </w:r>
      <w:r w:rsidR="00C06AEB" w:rsidRPr="00686018">
        <w:rPr>
          <w:rFonts w:ascii="Times New Roman" w:hAnsi="Times New Roman" w:cs="Times New Roman"/>
          <w:sz w:val="24"/>
          <w:vertAlign w:val="subscript"/>
          <w:lang w:eastAsia="es-EC"/>
        </w:rPr>
        <w:t>max</w:t>
      </w:r>
      <w:r w:rsidR="00C06AEB" w:rsidRPr="00686018">
        <w:rPr>
          <w:rFonts w:ascii="Times New Roman" w:hAnsi="Times New Roman" w:cs="Times New Roman"/>
          <w:sz w:val="24"/>
          <w:lang w:eastAsia="es-EC"/>
        </w:rPr>
        <w:t xml:space="preserve"> fueron estimados</w:t>
      </w:r>
      <w:r w:rsidRPr="00686018">
        <w:rPr>
          <w:rFonts w:ascii="Times New Roman" w:hAnsi="Times New Roman" w:cs="Times New Roman"/>
          <w:sz w:val="24"/>
          <w:lang w:eastAsia="es-EC"/>
        </w:rPr>
        <w:t xml:space="preserve"> por el modelo modificado de Gompertz y el modelo de trasferencia. En ambos casos, λ aumenta </w:t>
      </w:r>
      <w:r w:rsidR="00C06AEB" w:rsidRPr="00686018">
        <w:rPr>
          <w:rFonts w:ascii="Times New Roman" w:hAnsi="Times New Roman" w:cs="Times New Roman"/>
          <w:sz w:val="24"/>
          <w:lang w:eastAsia="es-EC"/>
        </w:rPr>
        <w:t xml:space="preserve">ligeramente </w:t>
      </w:r>
      <w:r w:rsidRPr="00686018">
        <w:rPr>
          <w:rFonts w:ascii="Times New Roman" w:hAnsi="Times New Roman" w:cs="Times New Roman"/>
          <w:sz w:val="24"/>
          <w:lang w:eastAsia="es-EC"/>
        </w:rPr>
        <w:t>a media que se incrementa la fracción del sustrato (se reduce la fracción de inoculo). La λ se incrementa, además, a medida que disminuye la fracción de TR (es decir aumenta la fracción de</w:t>
      </w:r>
      <w:r w:rsidR="00DD0237" w:rsidRPr="00686018">
        <w:rPr>
          <w:rFonts w:ascii="Times New Roman" w:hAnsi="Times New Roman" w:cs="Times New Roman"/>
          <w:sz w:val="24"/>
          <w:lang w:eastAsia="es-EC"/>
        </w:rPr>
        <w:t xml:space="preserve"> RE)</w:t>
      </w:r>
      <w:r w:rsidR="00FF23F8" w:rsidRPr="00686018">
        <w:rPr>
          <w:rFonts w:ascii="Times New Roman" w:hAnsi="Times New Roman" w:cs="Times New Roman"/>
          <w:sz w:val="24"/>
          <w:lang w:eastAsia="es-EC"/>
        </w:rPr>
        <w:t xml:space="preserve"> indicando que añadir más RE provoca que los microorganismos tarden en adaptarse al sustrat</w:t>
      </w:r>
      <w:r w:rsidR="001E4621" w:rsidRPr="00686018">
        <w:rPr>
          <w:rFonts w:ascii="Times New Roman" w:hAnsi="Times New Roman" w:cs="Times New Roman"/>
          <w:sz w:val="24"/>
          <w:lang w:eastAsia="es-EC"/>
        </w:rPr>
        <w:t xml:space="preserve">o. Este caso ocurre con el experimento (I:S 2:1) </w:t>
      </w:r>
      <w:r w:rsidR="00FF23F8" w:rsidRPr="00686018">
        <w:rPr>
          <w:rFonts w:ascii="Times New Roman" w:hAnsi="Times New Roman" w:cs="Times New Roman"/>
          <w:sz w:val="24"/>
          <w:lang w:eastAsia="es-EC"/>
        </w:rPr>
        <w:t xml:space="preserve">a pesar de tener más inóculo. Cuando se carga un 50% de inóculo (I:S – 1:1), la fase de </w:t>
      </w:r>
      <w:r w:rsidR="00FF23F8" w:rsidRPr="00686018">
        <w:rPr>
          <w:rFonts w:ascii="Times New Roman" w:hAnsi="Times New Roman" w:cs="Times New Roman"/>
          <w:sz w:val="24"/>
          <w:lang w:eastAsia="es-EC"/>
        </w:rPr>
        <w:lastRenderedPageBreak/>
        <w:t xml:space="preserve">latencia asciende hasta 0.968 días, es decir </w:t>
      </w:r>
      <w:r w:rsidR="00C06AEB" w:rsidRPr="00686018">
        <w:rPr>
          <w:rFonts w:ascii="Times New Roman" w:hAnsi="Times New Roman" w:cs="Times New Roman"/>
          <w:sz w:val="24"/>
          <w:lang w:eastAsia="es-EC"/>
        </w:rPr>
        <w:t>un retardo</w:t>
      </w:r>
      <w:r w:rsidR="00FF23F8" w:rsidRPr="00686018">
        <w:rPr>
          <w:rFonts w:ascii="Times New Roman" w:hAnsi="Times New Roman" w:cs="Times New Roman"/>
          <w:sz w:val="24"/>
          <w:lang w:eastAsia="es-EC"/>
        </w:rPr>
        <w:t xml:space="preserve"> cuando </w:t>
      </w:r>
      <w:r w:rsidR="001E4621" w:rsidRPr="00686018">
        <w:rPr>
          <w:rFonts w:ascii="Times New Roman" w:hAnsi="Times New Roman" w:cs="Times New Roman"/>
          <w:sz w:val="24"/>
          <w:lang w:eastAsia="es-EC"/>
        </w:rPr>
        <w:t>el sustrato (razón RE a TR)</w:t>
      </w:r>
      <w:r w:rsidR="00FF23F8" w:rsidRPr="00686018">
        <w:rPr>
          <w:rFonts w:ascii="Times New Roman" w:hAnsi="Times New Roman" w:cs="Times New Roman"/>
          <w:sz w:val="24"/>
          <w:lang w:eastAsia="es-EC"/>
        </w:rPr>
        <w:t xml:space="preserve"> pos</w:t>
      </w:r>
      <w:r w:rsidR="00C06AEB" w:rsidRPr="00686018">
        <w:rPr>
          <w:rFonts w:ascii="Times New Roman" w:hAnsi="Times New Roman" w:cs="Times New Roman"/>
          <w:sz w:val="24"/>
          <w:lang w:eastAsia="es-EC"/>
        </w:rPr>
        <w:t xml:space="preserve">ee un 50% de TR y un 50% de RE. </w:t>
      </w:r>
      <w:r w:rsidR="00FF23F8" w:rsidRPr="00686018">
        <w:rPr>
          <w:rFonts w:ascii="Times New Roman" w:hAnsi="Times New Roman" w:cs="Times New Roman"/>
          <w:sz w:val="24"/>
          <w:lang w:eastAsia="es-EC"/>
        </w:rPr>
        <w:t xml:space="preserve">Para el experimento 1:2, la fase de latencia es mayor que para los experimentos restantes, esto se esperaba, pues contienen </w:t>
      </w:r>
      <w:r w:rsidR="00C06AEB" w:rsidRPr="00686018">
        <w:rPr>
          <w:rFonts w:ascii="Times New Roman" w:hAnsi="Times New Roman" w:cs="Times New Roman"/>
          <w:sz w:val="24"/>
          <w:lang w:eastAsia="es-EC"/>
        </w:rPr>
        <w:t>más</w:t>
      </w:r>
      <w:r w:rsidR="00FF23F8" w:rsidRPr="00686018">
        <w:rPr>
          <w:rFonts w:ascii="Times New Roman" w:hAnsi="Times New Roman" w:cs="Times New Roman"/>
          <w:sz w:val="24"/>
          <w:lang w:eastAsia="es-EC"/>
        </w:rPr>
        <w:t xml:space="preserve"> sustratos (RE y TR). La fase de latencia aumenta en codigestión (RE:TR 3:1) hasta 1.42 días.</w:t>
      </w:r>
      <w:r w:rsidR="001E4621" w:rsidRPr="00686018">
        <w:rPr>
          <w:rFonts w:ascii="Times New Roman" w:hAnsi="Times New Roman" w:cs="Times New Roman"/>
          <w:sz w:val="24"/>
          <w:lang w:eastAsia="es-EC"/>
        </w:rPr>
        <w:t xml:space="preserve"> Con respecto a R</w:t>
      </w:r>
      <w:r w:rsidR="001E4621" w:rsidRPr="00686018">
        <w:rPr>
          <w:rFonts w:ascii="Times New Roman" w:hAnsi="Times New Roman" w:cs="Times New Roman"/>
          <w:sz w:val="24"/>
          <w:vertAlign w:val="subscript"/>
          <w:lang w:eastAsia="es-EC"/>
        </w:rPr>
        <w:t>max</w:t>
      </w:r>
      <w:r w:rsidR="001E4621" w:rsidRPr="00686018">
        <w:rPr>
          <w:rFonts w:ascii="Times New Roman" w:hAnsi="Times New Roman" w:cs="Times New Roman"/>
          <w:sz w:val="24"/>
          <w:lang w:eastAsia="es-EC"/>
        </w:rPr>
        <w:t>. En I:S 2:1 La razón máxima de generación de metano aumenta a medida que aumenta la  porción de RE. Cuando el inoculo es igual al 50% de sustrato (I:S 1:1), R</w:t>
      </w:r>
      <w:r w:rsidR="001E4621" w:rsidRPr="00686018">
        <w:rPr>
          <w:rFonts w:ascii="Times New Roman" w:hAnsi="Times New Roman" w:cs="Times New Roman"/>
          <w:sz w:val="24"/>
          <w:vertAlign w:val="subscript"/>
          <w:lang w:eastAsia="es-EC"/>
        </w:rPr>
        <w:t>max</w:t>
      </w:r>
      <w:r w:rsidR="001E4621" w:rsidRPr="00686018">
        <w:rPr>
          <w:rFonts w:ascii="Times New Roman" w:hAnsi="Times New Roman" w:cs="Times New Roman"/>
          <w:sz w:val="24"/>
          <w:lang w:eastAsia="es-EC"/>
        </w:rPr>
        <w:t xml:space="preserve"> permanece constante en promedio para todos los tratamientos, casi no varía. Cuando el inoculo desciende a 33.33%, R</w:t>
      </w:r>
      <w:r w:rsidR="001E4621" w:rsidRPr="00686018">
        <w:rPr>
          <w:rFonts w:ascii="Times New Roman" w:hAnsi="Times New Roman" w:cs="Times New Roman"/>
          <w:sz w:val="24"/>
          <w:vertAlign w:val="subscript"/>
          <w:lang w:eastAsia="es-EC"/>
        </w:rPr>
        <w:t>max</w:t>
      </w:r>
      <w:r w:rsidR="001E4621" w:rsidRPr="00686018">
        <w:rPr>
          <w:rFonts w:ascii="Times New Roman" w:hAnsi="Times New Roman" w:cs="Times New Roman"/>
          <w:sz w:val="24"/>
          <w:lang w:eastAsia="es-EC"/>
        </w:rPr>
        <w:t xml:space="preserve"> aumenta con la porción de RE, sin embargo, desciende para la monodigestión.</w:t>
      </w:r>
    </w:p>
    <w:p w:rsidR="009F6058" w:rsidRPr="00686018" w:rsidRDefault="009F6058"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 xml:space="preserve">El </w:t>
      </w:r>
      <w:r w:rsidR="00EB0E5E" w:rsidRPr="00686018">
        <w:rPr>
          <w:rFonts w:ascii="Times New Roman" w:hAnsi="Times New Roman" w:cs="Times New Roman"/>
          <w:sz w:val="24"/>
          <w:lang w:eastAsia="es-EC"/>
        </w:rPr>
        <w:t>parámetro</w:t>
      </w:r>
      <w:r w:rsidRPr="00686018">
        <w:rPr>
          <w:rFonts w:ascii="Times New Roman" w:hAnsi="Times New Roman" w:cs="Times New Roman"/>
          <w:sz w:val="24"/>
          <w:lang w:eastAsia="es-EC"/>
        </w:rPr>
        <w:t xml:space="preserve"> k es más alto para 100% de trigo (0.099) y un 66.67% de inóculo (I:S 2:1), pero desciende hasta 0.066 cuando la cantidad de sustrato se incrementa en los digestores hasta 66.67% y el inoculo se reduce a un 33.37% (I:S 1:2). Este comportamiento era de esperarse, pues, al aumentar el porcentaje de inóculo en los digestores aumenta la población de microorganismos y por tanto la razón de hidrolisis. Un comportamiento similar ocurre cuando el digestor es cargado con 100% de RE, sin embargo, el resultado es opuesto. A menor porcentaje de inoculo, se incrementa el valor de K desde 0.084 hasta 0.090, el comportamiento opuesto podría ser por la carga microbiana adicional que acompaña a RE desde su recolección hasta el momento de ser cargado al digestor.</w:t>
      </w:r>
    </w:p>
    <w:p w:rsidR="0007532F" w:rsidRPr="00686018" w:rsidRDefault="009F6058"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En codigestión el parámetro cinético k está en un rango de 0.077 a 0.089. Ambos valores corresponden a una razón I:S de 1:1 y 1:2 (valores altos en ambos, además justifican las cantidades altas de B</w:t>
      </w:r>
      <w:r w:rsidRPr="00686018">
        <w:rPr>
          <w:rFonts w:ascii="Times New Roman" w:hAnsi="Times New Roman" w:cs="Times New Roman"/>
          <w:sz w:val="24"/>
          <w:vertAlign w:val="subscript"/>
          <w:lang w:eastAsia="es-EC"/>
        </w:rPr>
        <w:t>o</w:t>
      </w:r>
      <w:r w:rsidRPr="00686018">
        <w:rPr>
          <w:rFonts w:ascii="Times New Roman" w:hAnsi="Times New Roman" w:cs="Times New Roman"/>
          <w:sz w:val="24"/>
          <w:lang w:eastAsia="es-EC"/>
        </w:rPr>
        <w:t>) respectivamente y una fracción de RE a TR de 3:1. Aumentar la fracción de RE en comparación a TR mejora la generación de metano, la cargar microbiana adicional que acompaña a RE podría favorecer la abundancia de microorganismos qu</w:t>
      </w:r>
      <w:r w:rsidR="0051647B" w:rsidRPr="00686018">
        <w:rPr>
          <w:rFonts w:ascii="Times New Roman" w:hAnsi="Times New Roman" w:cs="Times New Roman"/>
          <w:sz w:val="24"/>
          <w:lang w:eastAsia="es-EC"/>
        </w:rPr>
        <w:t>e en monodigestió</w:t>
      </w:r>
      <w:r w:rsidRPr="00686018">
        <w:rPr>
          <w:rFonts w:ascii="Times New Roman" w:hAnsi="Times New Roman" w:cs="Times New Roman"/>
          <w:sz w:val="24"/>
          <w:lang w:eastAsia="es-EC"/>
        </w:rPr>
        <w:t>n es ausente. Por tanto, un porcentaje más alto de RE favorece la razón de hidrolisis; se atribuye esto, además, al efecto sinérgico ocurrido en codigestión pues favorece la biodegradabilidad de ambos sustratos</w:t>
      </w:r>
      <w:r w:rsidR="0051647B" w:rsidRPr="00686018">
        <w:rPr>
          <w:rFonts w:ascii="Times New Roman" w:hAnsi="Times New Roman" w:cs="Times New Roman"/>
          <w:sz w:val="24"/>
          <w:lang w:eastAsia="es-EC"/>
        </w:rPr>
        <w:t xml:space="preserve">, detallado anteriormente en la </w:t>
      </w:r>
      <w:r w:rsidR="0051647B" w:rsidRPr="00686018">
        <w:rPr>
          <w:rFonts w:ascii="Times New Roman" w:hAnsi="Times New Roman" w:cs="Times New Roman"/>
          <w:b/>
          <w:sz w:val="24"/>
          <w:lang w:eastAsia="es-EC"/>
        </w:rPr>
        <w:t>sección 5.4</w:t>
      </w:r>
      <w:r w:rsidR="0051647B" w:rsidRPr="00686018">
        <w:rPr>
          <w:rFonts w:ascii="Times New Roman" w:hAnsi="Times New Roman" w:cs="Times New Roman"/>
          <w:sz w:val="24"/>
          <w:lang w:eastAsia="es-EC"/>
        </w:rPr>
        <w:t>.</w:t>
      </w:r>
    </w:p>
    <w:p w:rsidR="005108A5" w:rsidRPr="00686018" w:rsidRDefault="005108A5" w:rsidP="00A31608">
      <w:pPr>
        <w:pStyle w:val="Descripcin"/>
        <w:spacing w:before="360" w:after="360"/>
        <w:jc w:val="both"/>
        <w:rPr>
          <w:rFonts w:ascii="Times New Roman" w:hAnsi="Times New Roman" w:cs="Times New Roman"/>
          <w:i w:val="0"/>
          <w:color w:val="000000" w:themeColor="text1"/>
        </w:rPr>
      </w:pPr>
      <w:bookmarkStart w:id="251" w:name="_Toc9537918"/>
      <w:r w:rsidRPr="00686018">
        <w:rPr>
          <w:rFonts w:ascii="Times New Roman" w:hAnsi="Times New Roman" w:cs="Times New Roman"/>
          <w:b/>
          <w:i w:val="0"/>
          <w:color w:val="000000" w:themeColor="text1"/>
        </w:rPr>
        <w:t xml:space="preserve">Tabla </w:t>
      </w:r>
      <w:r w:rsidRPr="00686018">
        <w:rPr>
          <w:rFonts w:ascii="Times New Roman" w:hAnsi="Times New Roman" w:cs="Times New Roman"/>
          <w:b/>
          <w:i w:val="0"/>
          <w:color w:val="000000" w:themeColor="text1"/>
        </w:rPr>
        <w:fldChar w:fldCharType="begin"/>
      </w:r>
      <w:r w:rsidRPr="00686018">
        <w:rPr>
          <w:rFonts w:ascii="Times New Roman" w:hAnsi="Times New Roman" w:cs="Times New Roman"/>
          <w:b/>
          <w:i w:val="0"/>
          <w:color w:val="000000" w:themeColor="text1"/>
        </w:rPr>
        <w:instrText xml:space="preserve"> SEQ Tabla \* ARABIC </w:instrText>
      </w:r>
      <w:r w:rsidRPr="00686018">
        <w:rPr>
          <w:rFonts w:ascii="Times New Roman" w:hAnsi="Times New Roman" w:cs="Times New Roman"/>
          <w:b/>
          <w:i w:val="0"/>
          <w:color w:val="000000" w:themeColor="text1"/>
        </w:rPr>
        <w:fldChar w:fldCharType="separate"/>
      </w:r>
      <w:r w:rsidR="00973AF5" w:rsidRPr="00686018">
        <w:rPr>
          <w:rFonts w:ascii="Times New Roman" w:hAnsi="Times New Roman" w:cs="Times New Roman"/>
          <w:b/>
          <w:i w:val="0"/>
          <w:noProof/>
          <w:color w:val="000000" w:themeColor="text1"/>
        </w:rPr>
        <w:t>15</w:t>
      </w:r>
      <w:r w:rsidRPr="00686018">
        <w:rPr>
          <w:rFonts w:ascii="Times New Roman" w:hAnsi="Times New Roman" w:cs="Times New Roman"/>
          <w:b/>
          <w:i w:val="0"/>
          <w:color w:val="000000" w:themeColor="text1"/>
        </w:rPr>
        <w:fldChar w:fldCharType="end"/>
      </w:r>
      <w:r w:rsidRPr="00686018">
        <w:rPr>
          <w:rFonts w:ascii="Times New Roman" w:hAnsi="Times New Roman" w:cs="Times New Roman"/>
          <w:b/>
          <w:i w:val="0"/>
          <w:color w:val="000000" w:themeColor="text1"/>
        </w:rPr>
        <w:t>.</w:t>
      </w:r>
      <w:r w:rsidRPr="00686018">
        <w:rPr>
          <w:rFonts w:ascii="Times New Roman" w:hAnsi="Times New Roman" w:cs="Times New Roman"/>
          <w:i w:val="0"/>
          <w:color w:val="000000" w:themeColor="text1"/>
        </w:rPr>
        <w:t xml:space="preserve"> Parámetros estimados del modelo modificado de Gompertz.</w:t>
      </w:r>
      <w:bookmarkEnd w:id="251"/>
    </w:p>
    <w:tbl>
      <w:tblPr>
        <w:tblW w:w="8064" w:type="dxa"/>
        <w:jc w:val="center"/>
        <w:tblCellMar>
          <w:left w:w="70" w:type="dxa"/>
          <w:right w:w="70" w:type="dxa"/>
        </w:tblCellMar>
        <w:tblLook w:val="04A0" w:firstRow="1" w:lastRow="0" w:firstColumn="1" w:lastColumn="0" w:noHBand="0" w:noVBand="1"/>
      </w:tblPr>
      <w:tblGrid>
        <w:gridCol w:w="666"/>
        <w:gridCol w:w="1198"/>
        <w:gridCol w:w="1053"/>
        <w:gridCol w:w="897"/>
        <w:gridCol w:w="757"/>
        <w:gridCol w:w="835"/>
        <w:gridCol w:w="741"/>
        <w:gridCol w:w="899"/>
        <w:gridCol w:w="1018"/>
      </w:tblGrid>
      <w:tr w:rsidR="00A64590" w:rsidRPr="00686018" w:rsidTr="007D362B">
        <w:trPr>
          <w:trHeight w:val="286"/>
          <w:jc w:val="center"/>
        </w:trPr>
        <w:tc>
          <w:tcPr>
            <w:tcW w:w="666"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I:S</w:t>
            </w:r>
          </w:p>
        </w:tc>
        <w:tc>
          <w:tcPr>
            <w:tcW w:w="1198"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RE:TR</w:t>
            </w:r>
          </w:p>
        </w:tc>
        <w:tc>
          <w:tcPr>
            <w:tcW w:w="1053"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RME (</w:t>
            </w:r>
            <w:r w:rsidR="00DD14D0">
              <w:rPr>
                <w:rFonts w:ascii="Times New Roman" w:eastAsia="Times New Roman" w:hAnsi="Times New Roman" w:cs="Times New Roman"/>
                <w:b/>
                <w:bCs/>
                <w:sz w:val="18"/>
                <w:szCs w:val="18"/>
                <w:lang w:eastAsia="es-EC"/>
              </w:rPr>
              <w:t>mL</w:t>
            </w:r>
            <w:r w:rsidRPr="00686018">
              <w:rPr>
                <w:rFonts w:ascii="Times New Roman" w:eastAsia="Times New Roman" w:hAnsi="Times New Roman" w:cs="Times New Roman"/>
                <w:b/>
                <w:bCs/>
                <w:sz w:val="18"/>
                <w:szCs w:val="18"/>
                <w:lang w:eastAsia="es-EC"/>
              </w:rPr>
              <w:t>/g-SV)</w:t>
            </w:r>
          </w:p>
        </w:tc>
        <w:tc>
          <w:tcPr>
            <w:tcW w:w="4129" w:type="dxa"/>
            <w:gridSpan w:val="5"/>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Modelo Modificado de Gompertz</w:t>
            </w:r>
          </w:p>
        </w:tc>
        <w:tc>
          <w:tcPr>
            <w:tcW w:w="1018" w:type="dxa"/>
            <w:vMerge w:val="restart"/>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 Diferencia</w:t>
            </w:r>
          </w:p>
        </w:tc>
      </w:tr>
      <w:tr w:rsidR="00A64590" w:rsidRPr="00686018" w:rsidTr="007D362B">
        <w:trPr>
          <w:trHeight w:val="286"/>
          <w:jc w:val="center"/>
        </w:trPr>
        <w:tc>
          <w:tcPr>
            <w:tcW w:w="666"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198"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053"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897"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Bo</w:t>
            </w:r>
          </w:p>
        </w:tc>
        <w:tc>
          <w:tcPr>
            <w:tcW w:w="757" w:type="dxa"/>
            <w:tcBorders>
              <w:top w:val="single" w:sz="4" w:space="0" w:color="auto"/>
              <w:bottom w:val="single" w:sz="4" w:space="0" w:color="auto"/>
            </w:tcBorders>
            <w:shd w:val="clear" w:color="auto" w:fill="auto"/>
            <w:noWrap/>
            <w:vAlign w:val="center"/>
            <w:hideMark/>
          </w:tcPr>
          <w:p w:rsidR="00A64590" w:rsidRPr="00686018" w:rsidRDefault="00123A6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w:t>
            </w:r>
            <w:r w:rsidR="00A64590" w:rsidRPr="00686018">
              <w:rPr>
                <w:rFonts w:ascii="Times New Roman" w:eastAsia="Times New Roman" w:hAnsi="Times New Roman" w:cs="Times New Roman"/>
                <w:b/>
                <w:bCs/>
                <w:sz w:val="18"/>
                <w:szCs w:val="18"/>
                <w:vertAlign w:val="subscript"/>
                <w:lang w:eastAsia="es-EC"/>
              </w:rPr>
              <w:t>max</w:t>
            </w:r>
          </w:p>
        </w:tc>
        <w:tc>
          <w:tcPr>
            <w:tcW w:w="835"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λ</w:t>
            </w:r>
          </w:p>
        </w:tc>
        <w:tc>
          <w:tcPr>
            <w:tcW w:w="741"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R²</w:t>
            </w:r>
          </w:p>
        </w:tc>
        <w:tc>
          <w:tcPr>
            <w:tcW w:w="899"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RMSE</w:t>
            </w:r>
          </w:p>
        </w:tc>
        <w:tc>
          <w:tcPr>
            <w:tcW w:w="1018"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r>
      <w:tr w:rsidR="00A64590" w:rsidRPr="00686018" w:rsidTr="007D362B">
        <w:trPr>
          <w:trHeight w:val="286"/>
          <w:jc w:val="center"/>
        </w:trPr>
        <w:tc>
          <w:tcPr>
            <w:tcW w:w="666"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p>
        </w:tc>
        <w:tc>
          <w:tcPr>
            <w:tcW w:w="119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05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c>
          <w:tcPr>
            <w:tcW w:w="89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01</w:t>
            </w:r>
          </w:p>
        </w:tc>
        <w:tc>
          <w:tcPr>
            <w:tcW w:w="75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44</w:t>
            </w:r>
          </w:p>
        </w:tc>
        <w:tc>
          <w:tcPr>
            <w:tcW w:w="83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783</w:t>
            </w:r>
          </w:p>
        </w:tc>
        <w:tc>
          <w:tcPr>
            <w:tcW w:w="741"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973</w:t>
            </w:r>
          </w:p>
        </w:tc>
        <w:tc>
          <w:tcPr>
            <w:tcW w:w="899"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503</w:t>
            </w:r>
          </w:p>
        </w:tc>
        <w:tc>
          <w:tcPr>
            <w:tcW w:w="101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70</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47</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975</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987</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609</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33</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21</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65</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13</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528</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984</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320</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53</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79</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701</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991</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588</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r>
      <w:tr w:rsidR="00A64590" w:rsidRPr="00686018" w:rsidTr="007D362B">
        <w:trPr>
          <w:trHeight w:val="286"/>
          <w:jc w:val="center"/>
        </w:trPr>
        <w:tc>
          <w:tcPr>
            <w:tcW w:w="666"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05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89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43</w:t>
            </w:r>
          </w:p>
        </w:tc>
        <w:tc>
          <w:tcPr>
            <w:tcW w:w="75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w:t>
            </w:r>
          </w:p>
        </w:tc>
        <w:tc>
          <w:tcPr>
            <w:tcW w:w="83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108</w:t>
            </w:r>
          </w:p>
        </w:tc>
        <w:tc>
          <w:tcPr>
            <w:tcW w:w="741"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986</w:t>
            </w:r>
          </w:p>
        </w:tc>
        <w:tc>
          <w:tcPr>
            <w:tcW w:w="899"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913</w:t>
            </w:r>
          </w:p>
        </w:tc>
        <w:tc>
          <w:tcPr>
            <w:tcW w:w="101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r>
      <w:tr w:rsidR="00A64590" w:rsidRPr="00686018" w:rsidTr="007D362B">
        <w:trPr>
          <w:trHeight w:val="286"/>
          <w:jc w:val="center"/>
        </w:trPr>
        <w:tc>
          <w:tcPr>
            <w:tcW w:w="666"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p>
        </w:tc>
        <w:tc>
          <w:tcPr>
            <w:tcW w:w="119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05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c>
          <w:tcPr>
            <w:tcW w:w="89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82</w:t>
            </w:r>
          </w:p>
        </w:tc>
        <w:tc>
          <w:tcPr>
            <w:tcW w:w="75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36</w:t>
            </w:r>
          </w:p>
        </w:tc>
        <w:tc>
          <w:tcPr>
            <w:tcW w:w="83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420</w:t>
            </w:r>
          </w:p>
        </w:tc>
        <w:tc>
          <w:tcPr>
            <w:tcW w:w="741"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978</w:t>
            </w:r>
          </w:p>
        </w:tc>
        <w:tc>
          <w:tcPr>
            <w:tcW w:w="899"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363</w:t>
            </w:r>
          </w:p>
        </w:tc>
        <w:tc>
          <w:tcPr>
            <w:tcW w:w="101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03</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63</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67</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098</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984</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163</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64</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784</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0.993</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439</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36</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352</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987</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988</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58</w:t>
            </w:r>
          </w:p>
        </w:tc>
      </w:tr>
      <w:tr w:rsidR="00A64590" w:rsidRPr="00686018" w:rsidTr="007D362B">
        <w:trPr>
          <w:trHeight w:val="286"/>
          <w:jc w:val="center"/>
        </w:trPr>
        <w:tc>
          <w:tcPr>
            <w:tcW w:w="666"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05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89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75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62</w:t>
            </w:r>
          </w:p>
        </w:tc>
        <w:tc>
          <w:tcPr>
            <w:tcW w:w="83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132</w:t>
            </w:r>
          </w:p>
        </w:tc>
        <w:tc>
          <w:tcPr>
            <w:tcW w:w="741"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993</w:t>
            </w:r>
          </w:p>
        </w:tc>
        <w:tc>
          <w:tcPr>
            <w:tcW w:w="899"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323</w:t>
            </w:r>
          </w:p>
        </w:tc>
        <w:tc>
          <w:tcPr>
            <w:tcW w:w="101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70</w:t>
            </w:r>
          </w:p>
        </w:tc>
      </w:tr>
      <w:tr w:rsidR="00A64590" w:rsidRPr="00686018" w:rsidTr="007D362B">
        <w:trPr>
          <w:trHeight w:val="286"/>
          <w:jc w:val="center"/>
        </w:trPr>
        <w:tc>
          <w:tcPr>
            <w:tcW w:w="666"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p>
        </w:tc>
        <w:tc>
          <w:tcPr>
            <w:tcW w:w="119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05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c>
          <w:tcPr>
            <w:tcW w:w="89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74</w:t>
            </w:r>
          </w:p>
        </w:tc>
        <w:tc>
          <w:tcPr>
            <w:tcW w:w="75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83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891</w:t>
            </w:r>
          </w:p>
        </w:tc>
        <w:tc>
          <w:tcPr>
            <w:tcW w:w="741"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993</w:t>
            </w:r>
          </w:p>
        </w:tc>
        <w:tc>
          <w:tcPr>
            <w:tcW w:w="899"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144</w:t>
            </w:r>
          </w:p>
        </w:tc>
        <w:tc>
          <w:tcPr>
            <w:tcW w:w="101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66</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74</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127</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997</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835</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22</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31</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05</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167</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0.996</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368</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18</w:t>
            </w:r>
          </w:p>
        </w:tc>
      </w:tr>
      <w:tr w:rsidR="00A64590" w:rsidRPr="00686018" w:rsidTr="007D362B">
        <w:trPr>
          <w:trHeight w:val="286"/>
          <w:jc w:val="center"/>
        </w:trPr>
        <w:tc>
          <w:tcPr>
            <w:tcW w:w="666"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05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w:t>
            </w:r>
          </w:p>
        </w:tc>
        <w:tc>
          <w:tcPr>
            <w:tcW w:w="8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34</w:t>
            </w:r>
          </w:p>
        </w:tc>
        <w:tc>
          <w:tcPr>
            <w:tcW w:w="75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41</w:t>
            </w:r>
          </w:p>
        </w:tc>
        <w:tc>
          <w:tcPr>
            <w:tcW w:w="83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378</w:t>
            </w:r>
          </w:p>
        </w:tc>
        <w:tc>
          <w:tcPr>
            <w:tcW w:w="74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997</w:t>
            </w:r>
          </w:p>
        </w:tc>
        <w:tc>
          <w:tcPr>
            <w:tcW w:w="899"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446</w:t>
            </w:r>
          </w:p>
        </w:tc>
        <w:tc>
          <w:tcPr>
            <w:tcW w:w="101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w:t>
            </w:r>
          </w:p>
        </w:tc>
      </w:tr>
      <w:tr w:rsidR="00A64590" w:rsidRPr="00686018" w:rsidTr="007D362B">
        <w:trPr>
          <w:trHeight w:val="286"/>
          <w:jc w:val="center"/>
        </w:trPr>
        <w:tc>
          <w:tcPr>
            <w:tcW w:w="666"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9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05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89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75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c>
          <w:tcPr>
            <w:tcW w:w="83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055</w:t>
            </w:r>
          </w:p>
        </w:tc>
        <w:tc>
          <w:tcPr>
            <w:tcW w:w="741"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976</w:t>
            </w:r>
          </w:p>
        </w:tc>
        <w:tc>
          <w:tcPr>
            <w:tcW w:w="899"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686</w:t>
            </w:r>
          </w:p>
        </w:tc>
        <w:tc>
          <w:tcPr>
            <w:tcW w:w="101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87</w:t>
            </w:r>
          </w:p>
        </w:tc>
      </w:tr>
    </w:tbl>
    <w:p w:rsidR="008637D2" w:rsidRPr="00686018" w:rsidRDefault="005108A5"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121A06" w:rsidRPr="00686018" w:rsidRDefault="005108A5" w:rsidP="00A31608">
      <w:pPr>
        <w:pStyle w:val="Descripcin"/>
        <w:spacing w:before="360"/>
        <w:jc w:val="both"/>
        <w:rPr>
          <w:rFonts w:ascii="Times New Roman" w:hAnsi="Times New Roman" w:cs="Times New Roman"/>
          <w:i w:val="0"/>
          <w:color w:val="000000" w:themeColor="text1"/>
        </w:rPr>
      </w:pPr>
      <w:bookmarkStart w:id="252" w:name="_Toc9537919"/>
      <w:r w:rsidRPr="00686018">
        <w:rPr>
          <w:rFonts w:ascii="Times New Roman" w:hAnsi="Times New Roman" w:cs="Times New Roman"/>
          <w:b/>
          <w:i w:val="0"/>
          <w:color w:val="000000" w:themeColor="text1"/>
        </w:rPr>
        <w:t xml:space="preserve">Tabla </w:t>
      </w:r>
      <w:r w:rsidRPr="00686018">
        <w:rPr>
          <w:rFonts w:ascii="Times New Roman" w:hAnsi="Times New Roman" w:cs="Times New Roman"/>
          <w:b/>
          <w:i w:val="0"/>
          <w:color w:val="000000" w:themeColor="text1"/>
        </w:rPr>
        <w:fldChar w:fldCharType="begin"/>
      </w:r>
      <w:r w:rsidRPr="00686018">
        <w:rPr>
          <w:rFonts w:ascii="Times New Roman" w:hAnsi="Times New Roman" w:cs="Times New Roman"/>
          <w:b/>
          <w:i w:val="0"/>
          <w:color w:val="000000" w:themeColor="text1"/>
        </w:rPr>
        <w:instrText xml:space="preserve"> SEQ Tabla \* ARABIC </w:instrText>
      </w:r>
      <w:r w:rsidRPr="00686018">
        <w:rPr>
          <w:rFonts w:ascii="Times New Roman" w:hAnsi="Times New Roman" w:cs="Times New Roman"/>
          <w:b/>
          <w:i w:val="0"/>
          <w:color w:val="000000" w:themeColor="text1"/>
        </w:rPr>
        <w:fldChar w:fldCharType="separate"/>
      </w:r>
      <w:r w:rsidR="00973AF5" w:rsidRPr="00686018">
        <w:rPr>
          <w:rFonts w:ascii="Times New Roman" w:hAnsi="Times New Roman" w:cs="Times New Roman"/>
          <w:b/>
          <w:i w:val="0"/>
          <w:noProof/>
          <w:color w:val="000000" w:themeColor="text1"/>
        </w:rPr>
        <w:t>16</w:t>
      </w:r>
      <w:r w:rsidRPr="00686018">
        <w:rPr>
          <w:rFonts w:ascii="Times New Roman" w:hAnsi="Times New Roman" w:cs="Times New Roman"/>
          <w:b/>
          <w:i w:val="0"/>
          <w:color w:val="000000" w:themeColor="text1"/>
        </w:rPr>
        <w:fldChar w:fldCharType="end"/>
      </w:r>
      <w:r w:rsidRPr="00686018">
        <w:rPr>
          <w:rFonts w:ascii="Times New Roman" w:hAnsi="Times New Roman" w:cs="Times New Roman"/>
          <w:b/>
          <w:i w:val="0"/>
          <w:color w:val="000000" w:themeColor="text1"/>
        </w:rPr>
        <w:t>.</w:t>
      </w:r>
      <w:r w:rsidRPr="00686018">
        <w:rPr>
          <w:rFonts w:ascii="Times New Roman" w:hAnsi="Times New Roman" w:cs="Times New Roman"/>
          <w:i w:val="0"/>
          <w:color w:val="000000" w:themeColor="text1"/>
        </w:rPr>
        <w:t xml:space="preserve"> Parámetros estimados del modelo de Transferencia</w:t>
      </w:r>
      <w:bookmarkEnd w:id="252"/>
    </w:p>
    <w:tbl>
      <w:tblPr>
        <w:tblW w:w="8126" w:type="dxa"/>
        <w:jc w:val="center"/>
        <w:tblCellMar>
          <w:left w:w="70" w:type="dxa"/>
          <w:right w:w="70" w:type="dxa"/>
        </w:tblCellMar>
        <w:tblLook w:val="04A0" w:firstRow="1" w:lastRow="0" w:firstColumn="1" w:lastColumn="0" w:noHBand="0" w:noVBand="1"/>
      </w:tblPr>
      <w:tblGrid>
        <w:gridCol w:w="670"/>
        <w:gridCol w:w="1173"/>
        <w:gridCol w:w="992"/>
        <w:gridCol w:w="1034"/>
        <w:gridCol w:w="785"/>
        <w:gridCol w:w="866"/>
        <w:gridCol w:w="768"/>
        <w:gridCol w:w="813"/>
        <w:gridCol w:w="1025"/>
      </w:tblGrid>
      <w:tr w:rsidR="00A64590" w:rsidRPr="00686018" w:rsidTr="007D362B">
        <w:trPr>
          <w:trHeight w:val="298"/>
          <w:jc w:val="center"/>
        </w:trPr>
        <w:tc>
          <w:tcPr>
            <w:tcW w:w="670"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I:S</w:t>
            </w:r>
          </w:p>
        </w:tc>
        <w:tc>
          <w:tcPr>
            <w:tcW w:w="1173"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RE:TR</w:t>
            </w:r>
          </w:p>
        </w:tc>
        <w:tc>
          <w:tcPr>
            <w:tcW w:w="992"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RME (</w:t>
            </w:r>
            <w:r w:rsidR="00DD14D0">
              <w:rPr>
                <w:rFonts w:ascii="Times New Roman" w:eastAsia="Times New Roman" w:hAnsi="Times New Roman" w:cs="Times New Roman"/>
                <w:b/>
                <w:bCs/>
                <w:sz w:val="18"/>
                <w:szCs w:val="18"/>
                <w:lang w:eastAsia="es-EC"/>
              </w:rPr>
              <w:t>mL</w:t>
            </w:r>
            <w:r w:rsidRPr="00686018">
              <w:rPr>
                <w:rFonts w:ascii="Times New Roman" w:eastAsia="Times New Roman" w:hAnsi="Times New Roman" w:cs="Times New Roman"/>
                <w:b/>
                <w:bCs/>
                <w:sz w:val="18"/>
                <w:szCs w:val="18"/>
                <w:lang w:eastAsia="es-EC"/>
              </w:rPr>
              <w:t>/g-SV)</w:t>
            </w:r>
          </w:p>
        </w:tc>
        <w:tc>
          <w:tcPr>
            <w:tcW w:w="4266" w:type="dxa"/>
            <w:gridSpan w:val="5"/>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Modelo de Transferencia</w:t>
            </w:r>
          </w:p>
        </w:tc>
        <w:tc>
          <w:tcPr>
            <w:tcW w:w="1025" w:type="dxa"/>
            <w:vMerge w:val="restart"/>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 Diferencia</w:t>
            </w:r>
          </w:p>
        </w:tc>
      </w:tr>
      <w:tr w:rsidR="00A64590" w:rsidRPr="00686018" w:rsidTr="007D362B">
        <w:trPr>
          <w:trHeight w:val="298"/>
          <w:jc w:val="center"/>
        </w:trPr>
        <w:tc>
          <w:tcPr>
            <w:tcW w:w="670"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173"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992"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034"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Bo</w:t>
            </w:r>
          </w:p>
        </w:tc>
        <w:tc>
          <w:tcPr>
            <w:tcW w:w="785" w:type="dxa"/>
            <w:tcBorders>
              <w:top w:val="single" w:sz="4" w:space="0" w:color="auto"/>
              <w:bottom w:val="single" w:sz="4" w:space="0" w:color="auto"/>
            </w:tcBorders>
            <w:shd w:val="clear" w:color="auto" w:fill="auto"/>
            <w:noWrap/>
            <w:vAlign w:val="center"/>
            <w:hideMark/>
          </w:tcPr>
          <w:p w:rsidR="00A64590" w:rsidRPr="00686018" w:rsidRDefault="00123A6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w:t>
            </w:r>
            <w:r w:rsidR="00A64590" w:rsidRPr="00686018">
              <w:rPr>
                <w:rFonts w:ascii="Times New Roman" w:eastAsia="Times New Roman" w:hAnsi="Times New Roman" w:cs="Times New Roman"/>
                <w:b/>
                <w:bCs/>
                <w:sz w:val="18"/>
                <w:szCs w:val="18"/>
                <w:vertAlign w:val="subscript"/>
                <w:lang w:eastAsia="es-EC"/>
              </w:rPr>
              <w:t>max</w:t>
            </w:r>
          </w:p>
        </w:tc>
        <w:tc>
          <w:tcPr>
            <w:tcW w:w="866"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λ</w:t>
            </w:r>
          </w:p>
        </w:tc>
        <w:tc>
          <w:tcPr>
            <w:tcW w:w="768"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R²</w:t>
            </w:r>
          </w:p>
        </w:tc>
        <w:tc>
          <w:tcPr>
            <w:tcW w:w="813"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RMSE</w:t>
            </w:r>
          </w:p>
        </w:tc>
        <w:tc>
          <w:tcPr>
            <w:tcW w:w="1025"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r>
      <w:tr w:rsidR="00A64590" w:rsidRPr="00686018" w:rsidTr="007D362B">
        <w:trPr>
          <w:trHeight w:val="298"/>
          <w:jc w:val="center"/>
        </w:trPr>
        <w:tc>
          <w:tcPr>
            <w:tcW w:w="670"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p>
        </w:tc>
        <w:tc>
          <w:tcPr>
            <w:tcW w:w="117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992"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c>
          <w:tcPr>
            <w:tcW w:w="103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47</w:t>
            </w:r>
          </w:p>
        </w:tc>
        <w:tc>
          <w:tcPr>
            <w:tcW w:w="78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73</w:t>
            </w:r>
          </w:p>
        </w:tc>
        <w:tc>
          <w:tcPr>
            <w:tcW w:w="86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542</w:t>
            </w:r>
          </w:p>
        </w:tc>
        <w:tc>
          <w:tcPr>
            <w:tcW w:w="76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994</w:t>
            </w:r>
          </w:p>
        </w:tc>
        <w:tc>
          <w:tcPr>
            <w:tcW w:w="81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377</w:t>
            </w:r>
          </w:p>
        </w:tc>
        <w:tc>
          <w:tcPr>
            <w:tcW w:w="102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64</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57</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464</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996</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711</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69</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21</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11</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27.52</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655</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0.986</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100</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47</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54</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045</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997</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096</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61</w:t>
            </w:r>
          </w:p>
        </w:tc>
      </w:tr>
      <w:tr w:rsidR="00A64590" w:rsidRPr="00686018" w:rsidTr="007D362B">
        <w:trPr>
          <w:trHeight w:val="298"/>
          <w:jc w:val="center"/>
        </w:trPr>
        <w:tc>
          <w:tcPr>
            <w:tcW w:w="670"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992"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103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03</w:t>
            </w:r>
          </w:p>
        </w:tc>
        <w:tc>
          <w:tcPr>
            <w:tcW w:w="78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62</w:t>
            </w:r>
          </w:p>
        </w:tc>
        <w:tc>
          <w:tcPr>
            <w:tcW w:w="86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759</w:t>
            </w:r>
          </w:p>
        </w:tc>
        <w:tc>
          <w:tcPr>
            <w:tcW w:w="76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991</w:t>
            </w:r>
          </w:p>
        </w:tc>
        <w:tc>
          <w:tcPr>
            <w:tcW w:w="81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608</w:t>
            </w:r>
          </w:p>
        </w:tc>
        <w:tc>
          <w:tcPr>
            <w:tcW w:w="102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64</w:t>
            </w:r>
          </w:p>
        </w:tc>
      </w:tr>
      <w:tr w:rsidR="00A64590" w:rsidRPr="00686018" w:rsidTr="007D362B">
        <w:trPr>
          <w:trHeight w:val="298"/>
          <w:jc w:val="center"/>
        </w:trPr>
        <w:tc>
          <w:tcPr>
            <w:tcW w:w="670"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p>
        </w:tc>
        <w:tc>
          <w:tcPr>
            <w:tcW w:w="117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992"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c>
          <w:tcPr>
            <w:tcW w:w="103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04</w:t>
            </w:r>
          </w:p>
        </w:tc>
        <w:tc>
          <w:tcPr>
            <w:tcW w:w="78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42</w:t>
            </w:r>
          </w:p>
        </w:tc>
        <w:tc>
          <w:tcPr>
            <w:tcW w:w="86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485</w:t>
            </w:r>
          </w:p>
        </w:tc>
        <w:tc>
          <w:tcPr>
            <w:tcW w:w="76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989</w:t>
            </w:r>
          </w:p>
        </w:tc>
        <w:tc>
          <w:tcPr>
            <w:tcW w:w="81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304</w:t>
            </w:r>
          </w:p>
        </w:tc>
        <w:tc>
          <w:tcPr>
            <w:tcW w:w="102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63</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52</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73</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456</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992</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651</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43</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968</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990</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191</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11</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64</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330</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990</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165</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49</w:t>
            </w:r>
          </w:p>
        </w:tc>
      </w:tr>
      <w:tr w:rsidR="00A64590" w:rsidRPr="00686018" w:rsidTr="007D362B">
        <w:trPr>
          <w:trHeight w:val="298"/>
          <w:jc w:val="center"/>
        </w:trPr>
        <w:tc>
          <w:tcPr>
            <w:tcW w:w="670"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992"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103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47</w:t>
            </w:r>
          </w:p>
        </w:tc>
        <w:tc>
          <w:tcPr>
            <w:tcW w:w="78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62</w:t>
            </w:r>
          </w:p>
        </w:tc>
        <w:tc>
          <w:tcPr>
            <w:tcW w:w="86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252</w:t>
            </w:r>
          </w:p>
        </w:tc>
        <w:tc>
          <w:tcPr>
            <w:tcW w:w="76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992</w:t>
            </w:r>
          </w:p>
        </w:tc>
        <w:tc>
          <w:tcPr>
            <w:tcW w:w="81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577</w:t>
            </w:r>
          </w:p>
        </w:tc>
        <w:tc>
          <w:tcPr>
            <w:tcW w:w="102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36</w:t>
            </w:r>
          </w:p>
        </w:tc>
      </w:tr>
      <w:tr w:rsidR="00A64590" w:rsidRPr="00686018" w:rsidTr="007D362B">
        <w:trPr>
          <w:trHeight w:val="298"/>
          <w:jc w:val="center"/>
        </w:trPr>
        <w:tc>
          <w:tcPr>
            <w:tcW w:w="670"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p>
        </w:tc>
        <w:tc>
          <w:tcPr>
            <w:tcW w:w="117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992"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c>
          <w:tcPr>
            <w:tcW w:w="103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55</w:t>
            </w:r>
          </w:p>
        </w:tc>
        <w:tc>
          <w:tcPr>
            <w:tcW w:w="78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49</w:t>
            </w:r>
          </w:p>
        </w:tc>
        <w:tc>
          <w:tcPr>
            <w:tcW w:w="86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664</w:t>
            </w:r>
          </w:p>
        </w:tc>
        <w:tc>
          <w:tcPr>
            <w:tcW w:w="76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966</w:t>
            </w:r>
          </w:p>
        </w:tc>
        <w:tc>
          <w:tcPr>
            <w:tcW w:w="81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300</w:t>
            </w:r>
          </w:p>
        </w:tc>
        <w:tc>
          <w:tcPr>
            <w:tcW w:w="1025"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04</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74</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89</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249</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988</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205</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220</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0.989</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956</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r>
      <w:tr w:rsidR="00A64590" w:rsidRPr="00686018" w:rsidTr="007D362B">
        <w:trPr>
          <w:trHeight w:val="298"/>
          <w:jc w:val="center"/>
        </w:trPr>
        <w:tc>
          <w:tcPr>
            <w:tcW w:w="670"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992"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w:t>
            </w:r>
          </w:p>
        </w:tc>
        <w:tc>
          <w:tcPr>
            <w:tcW w:w="103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78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31</w:t>
            </w:r>
          </w:p>
        </w:tc>
        <w:tc>
          <w:tcPr>
            <w:tcW w:w="86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421</w:t>
            </w:r>
          </w:p>
        </w:tc>
        <w:tc>
          <w:tcPr>
            <w:tcW w:w="76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992</w:t>
            </w:r>
          </w:p>
        </w:tc>
        <w:tc>
          <w:tcPr>
            <w:tcW w:w="8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441</w:t>
            </w:r>
          </w:p>
        </w:tc>
        <w:tc>
          <w:tcPr>
            <w:tcW w:w="1025"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04</w:t>
            </w:r>
          </w:p>
        </w:tc>
      </w:tr>
      <w:tr w:rsidR="00A64590" w:rsidRPr="00686018" w:rsidTr="007D362B">
        <w:trPr>
          <w:trHeight w:val="298"/>
          <w:jc w:val="center"/>
        </w:trPr>
        <w:tc>
          <w:tcPr>
            <w:tcW w:w="670"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7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992"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103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45</w:t>
            </w:r>
          </w:p>
        </w:tc>
        <w:tc>
          <w:tcPr>
            <w:tcW w:w="78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w:t>
            </w:r>
          </w:p>
        </w:tc>
        <w:tc>
          <w:tcPr>
            <w:tcW w:w="86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981</w:t>
            </w:r>
          </w:p>
        </w:tc>
        <w:tc>
          <w:tcPr>
            <w:tcW w:w="76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994</w:t>
            </w:r>
          </w:p>
        </w:tc>
        <w:tc>
          <w:tcPr>
            <w:tcW w:w="81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785</w:t>
            </w:r>
          </w:p>
        </w:tc>
        <w:tc>
          <w:tcPr>
            <w:tcW w:w="1025"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11</w:t>
            </w:r>
          </w:p>
        </w:tc>
      </w:tr>
    </w:tbl>
    <w:p w:rsidR="009B04F5" w:rsidRPr="00686018" w:rsidRDefault="005108A5"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121A06" w:rsidRPr="00686018" w:rsidRDefault="005108A5" w:rsidP="00A31608">
      <w:pPr>
        <w:pStyle w:val="Descripcin"/>
        <w:spacing w:before="360"/>
        <w:jc w:val="both"/>
        <w:rPr>
          <w:rFonts w:ascii="Times New Roman" w:hAnsi="Times New Roman" w:cs="Times New Roman"/>
          <w:i w:val="0"/>
          <w:color w:val="000000" w:themeColor="text1"/>
        </w:rPr>
      </w:pPr>
      <w:bookmarkStart w:id="253" w:name="_Toc9537920"/>
      <w:r w:rsidRPr="00686018">
        <w:rPr>
          <w:rFonts w:ascii="Times New Roman" w:hAnsi="Times New Roman" w:cs="Times New Roman"/>
          <w:b/>
          <w:i w:val="0"/>
          <w:color w:val="000000" w:themeColor="text1"/>
        </w:rPr>
        <w:t xml:space="preserve">Tabla </w:t>
      </w:r>
      <w:r w:rsidRPr="00686018">
        <w:rPr>
          <w:rFonts w:ascii="Times New Roman" w:hAnsi="Times New Roman" w:cs="Times New Roman"/>
          <w:b/>
          <w:i w:val="0"/>
          <w:color w:val="000000" w:themeColor="text1"/>
        </w:rPr>
        <w:fldChar w:fldCharType="begin"/>
      </w:r>
      <w:r w:rsidRPr="00686018">
        <w:rPr>
          <w:rFonts w:ascii="Times New Roman" w:hAnsi="Times New Roman" w:cs="Times New Roman"/>
          <w:b/>
          <w:i w:val="0"/>
          <w:color w:val="000000" w:themeColor="text1"/>
        </w:rPr>
        <w:instrText xml:space="preserve"> SEQ Tabla \* ARABIC </w:instrText>
      </w:r>
      <w:r w:rsidRPr="00686018">
        <w:rPr>
          <w:rFonts w:ascii="Times New Roman" w:hAnsi="Times New Roman" w:cs="Times New Roman"/>
          <w:b/>
          <w:i w:val="0"/>
          <w:color w:val="000000" w:themeColor="text1"/>
        </w:rPr>
        <w:fldChar w:fldCharType="separate"/>
      </w:r>
      <w:r w:rsidR="00973AF5" w:rsidRPr="00686018">
        <w:rPr>
          <w:rFonts w:ascii="Times New Roman" w:hAnsi="Times New Roman" w:cs="Times New Roman"/>
          <w:b/>
          <w:i w:val="0"/>
          <w:noProof/>
          <w:color w:val="000000" w:themeColor="text1"/>
        </w:rPr>
        <w:t>17</w:t>
      </w:r>
      <w:r w:rsidRPr="00686018">
        <w:rPr>
          <w:rFonts w:ascii="Times New Roman" w:hAnsi="Times New Roman" w:cs="Times New Roman"/>
          <w:b/>
          <w:i w:val="0"/>
          <w:color w:val="000000" w:themeColor="text1"/>
        </w:rPr>
        <w:fldChar w:fldCharType="end"/>
      </w:r>
      <w:r w:rsidRPr="00686018">
        <w:rPr>
          <w:rFonts w:ascii="Times New Roman" w:hAnsi="Times New Roman" w:cs="Times New Roman"/>
          <w:b/>
          <w:i w:val="0"/>
          <w:color w:val="000000" w:themeColor="text1"/>
        </w:rPr>
        <w:t>.</w:t>
      </w:r>
      <w:r w:rsidRPr="00686018">
        <w:rPr>
          <w:rFonts w:ascii="Times New Roman" w:hAnsi="Times New Roman" w:cs="Times New Roman"/>
          <w:i w:val="0"/>
          <w:color w:val="000000" w:themeColor="text1"/>
        </w:rPr>
        <w:t xml:space="preserve"> Parámetros estimados del modelo del Cono</w:t>
      </w:r>
      <w:bookmarkEnd w:id="253"/>
    </w:p>
    <w:tbl>
      <w:tblPr>
        <w:tblW w:w="8089" w:type="dxa"/>
        <w:jc w:val="center"/>
        <w:tblCellMar>
          <w:left w:w="70" w:type="dxa"/>
          <w:right w:w="70" w:type="dxa"/>
        </w:tblCellMar>
        <w:tblLook w:val="04A0" w:firstRow="1" w:lastRow="0" w:firstColumn="1" w:lastColumn="0" w:noHBand="0" w:noVBand="1"/>
      </w:tblPr>
      <w:tblGrid>
        <w:gridCol w:w="672"/>
        <w:gridCol w:w="1144"/>
        <w:gridCol w:w="1007"/>
        <w:gridCol w:w="1076"/>
        <w:gridCol w:w="780"/>
        <w:gridCol w:w="780"/>
        <w:gridCol w:w="781"/>
        <w:gridCol w:w="752"/>
        <w:gridCol w:w="1097"/>
      </w:tblGrid>
      <w:tr w:rsidR="00A64590" w:rsidRPr="00686018" w:rsidTr="007D362B">
        <w:trPr>
          <w:trHeight w:val="298"/>
          <w:jc w:val="center"/>
        </w:trPr>
        <w:tc>
          <w:tcPr>
            <w:tcW w:w="672"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I:S</w:t>
            </w:r>
          </w:p>
        </w:tc>
        <w:tc>
          <w:tcPr>
            <w:tcW w:w="1144"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RE:TR</w:t>
            </w:r>
          </w:p>
        </w:tc>
        <w:tc>
          <w:tcPr>
            <w:tcW w:w="1007"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RME (</w:t>
            </w:r>
            <w:r w:rsidR="00DD14D0">
              <w:rPr>
                <w:rFonts w:ascii="Times New Roman" w:eastAsia="Times New Roman" w:hAnsi="Times New Roman" w:cs="Times New Roman"/>
                <w:b/>
                <w:bCs/>
                <w:sz w:val="18"/>
                <w:szCs w:val="18"/>
                <w:lang w:eastAsia="es-EC"/>
              </w:rPr>
              <w:t>mL</w:t>
            </w:r>
            <w:r w:rsidRPr="00686018">
              <w:rPr>
                <w:rFonts w:ascii="Times New Roman" w:eastAsia="Times New Roman" w:hAnsi="Times New Roman" w:cs="Times New Roman"/>
                <w:b/>
                <w:bCs/>
                <w:sz w:val="18"/>
                <w:szCs w:val="18"/>
                <w:lang w:eastAsia="es-EC"/>
              </w:rPr>
              <w:t>/g-SV)</w:t>
            </w:r>
          </w:p>
        </w:tc>
        <w:tc>
          <w:tcPr>
            <w:tcW w:w="4169" w:type="dxa"/>
            <w:gridSpan w:val="5"/>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Modelo del Cono</w:t>
            </w:r>
          </w:p>
        </w:tc>
        <w:tc>
          <w:tcPr>
            <w:tcW w:w="1097"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 Diferencia</w:t>
            </w:r>
          </w:p>
        </w:tc>
      </w:tr>
      <w:tr w:rsidR="00A64590" w:rsidRPr="00686018" w:rsidTr="007D362B">
        <w:trPr>
          <w:trHeight w:val="298"/>
          <w:jc w:val="center"/>
        </w:trPr>
        <w:tc>
          <w:tcPr>
            <w:tcW w:w="672"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144"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007"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076"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Bo</w:t>
            </w:r>
          </w:p>
        </w:tc>
        <w:tc>
          <w:tcPr>
            <w:tcW w:w="780"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k</w:t>
            </w:r>
          </w:p>
        </w:tc>
        <w:tc>
          <w:tcPr>
            <w:tcW w:w="780"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n</w:t>
            </w:r>
          </w:p>
        </w:tc>
        <w:tc>
          <w:tcPr>
            <w:tcW w:w="781"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R²</w:t>
            </w:r>
          </w:p>
        </w:tc>
        <w:tc>
          <w:tcPr>
            <w:tcW w:w="748"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RMSE</w:t>
            </w:r>
          </w:p>
        </w:tc>
        <w:tc>
          <w:tcPr>
            <w:tcW w:w="1097"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r>
      <w:tr w:rsidR="00A64590" w:rsidRPr="00686018" w:rsidTr="007D362B">
        <w:trPr>
          <w:trHeight w:val="298"/>
          <w:jc w:val="center"/>
        </w:trPr>
        <w:tc>
          <w:tcPr>
            <w:tcW w:w="672"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p>
        </w:tc>
        <w:tc>
          <w:tcPr>
            <w:tcW w:w="114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00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c>
          <w:tcPr>
            <w:tcW w:w="107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56</w:t>
            </w:r>
          </w:p>
        </w:tc>
        <w:tc>
          <w:tcPr>
            <w:tcW w:w="780"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147</w:t>
            </w:r>
          </w:p>
        </w:tc>
        <w:tc>
          <w:tcPr>
            <w:tcW w:w="780"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726</w:t>
            </w:r>
          </w:p>
        </w:tc>
        <w:tc>
          <w:tcPr>
            <w:tcW w:w="781"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992</w:t>
            </w:r>
          </w:p>
        </w:tc>
        <w:tc>
          <w:tcPr>
            <w:tcW w:w="74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020</w:t>
            </w:r>
          </w:p>
        </w:tc>
        <w:tc>
          <w:tcPr>
            <w:tcW w:w="109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71</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76</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130</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739</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982</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969</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73</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21</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32</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124</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853</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0.968</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839</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94</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15</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125</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654</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979</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197</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r>
      <w:tr w:rsidR="00A64590" w:rsidRPr="00686018" w:rsidTr="007D362B">
        <w:trPr>
          <w:trHeight w:val="298"/>
          <w:jc w:val="center"/>
        </w:trPr>
        <w:tc>
          <w:tcPr>
            <w:tcW w:w="672"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00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107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02</w:t>
            </w:r>
          </w:p>
        </w:tc>
        <w:tc>
          <w:tcPr>
            <w:tcW w:w="780"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140</w:t>
            </w:r>
          </w:p>
        </w:tc>
        <w:tc>
          <w:tcPr>
            <w:tcW w:w="780"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493</w:t>
            </w:r>
          </w:p>
        </w:tc>
        <w:tc>
          <w:tcPr>
            <w:tcW w:w="781"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962</w:t>
            </w:r>
          </w:p>
        </w:tc>
        <w:tc>
          <w:tcPr>
            <w:tcW w:w="74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516</w:t>
            </w:r>
          </w:p>
        </w:tc>
        <w:tc>
          <w:tcPr>
            <w:tcW w:w="109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64</w:t>
            </w:r>
          </w:p>
        </w:tc>
      </w:tr>
      <w:tr w:rsidR="00A64590" w:rsidRPr="00686018" w:rsidTr="007D362B">
        <w:trPr>
          <w:trHeight w:val="298"/>
          <w:jc w:val="center"/>
        </w:trPr>
        <w:tc>
          <w:tcPr>
            <w:tcW w:w="672"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p>
        </w:tc>
        <w:tc>
          <w:tcPr>
            <w:tcW w:w="114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00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c>
          <w:tcPr>
            <w:tcW w:w="107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780"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111</w:t>
            </w:r>
          </w:p>
        </w:tc>
        <w:tc>
          <w:tcPr>
            <w:tcW w:w="780"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657</w:t>
            </w:r>
          </w:p>
        </w:tc>
        <w:tc>
          <w:tcPr>
            <w:tcW w:w="781"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973</w:t>
            </w:r>
          </w:p>
        </w:tc>
        <w:tc>
          <w:tcPr>
            <w:tcW w:w="74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498</w:t>
            </w:r>
          </w:p>
        </w:tc>
        <w:tc>
          <w:tcPr>
            <w:tcW w:w="109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51</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63</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125</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707</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975</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199</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37</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111</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897</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0.977</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189</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55</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16</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114</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686</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968</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694</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77</w:t>
            </w:r>
          </w:p>
        </w:tc>
      </w:tr>
      <w:tr w:rsidR="00A64590" w:rsidRPr="00686018" w:rsidTr="007D362B">
        <w:trPr>
          <w:trHeight w:val="298"/>
          <w:jc w:val="center"/>
        </w:trPr>
        <w:tc>
          <w:tcPr>
            <w:tcW w:w="672"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00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107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81</w:t>
            </w:r>
          </w:p>
        </w:tc>
        <w:tc>
          <w:tcPr>
            <w:tcW w:w="780"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123</w:t>
            </w:r>
          </w:p>
        </w:tc>
        <w:tc>
          <w:tcPr>
            <w:tcW w:w="780"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724</w:t>
            </w:r>
          </w:p>
        </w:tc>
        <w:tc>
          <w:tcPr>
            <w:tcW w:w="781"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971</w:t>
            </w:r>
          </w:p>
        </w:tc>
        <w:tc>
          <w:tcPr>
            <w:tcW w:w="74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601</w:t>
            </w:r>
          </w:p>
        </w:tc>
        <w:tc>
          <w:tcPr>
            <w:tcW w:w="109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42</w:t>
            </w:r>
          </w:p>
        </w:tc>
      </w:tr>
      <w:tr w:rsidR="00A64590" w:rsidRPr="00686018" w:rsidTr="007D362B">
        <w:trPr>
          <w:trHeight w:val="298"/>
          <w:jc w:val="center"/>
        </w:trPr>
        <w:tc>
          <w:tcPr>
            <w:tcW w:w="672"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p>
        </w:tc>
        <w:tc>
          <w:tcPr>
            <w:tcW w:w="114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00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c>
          <w:tcPr>
            <w:tcW w:w="107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27</w:t>
            </w:r>
          </w:p>
        </w:tc>
        <w:tc>
          <w:tcPr>
            <w:tcW w:w="780"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085</w:t>
            </w:r>
          </w:p>
        </w:tc>
        <w:tc>
          <w:tcPr>
            <w:tcW w:w="780"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268</w:t>
            </w:r>
          </w:p>
        </w:tc>
        <w:tc>
          <w:tcPr>
            <w:tcW w:w="781"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966</w:t>
            </w:r>
          </w:p>
        </w:tc>
        <w:tc>
          <w:tcPr>
            <w:tcW w:w="74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203</w:t>
            </w:r>
          </w:p>
        </w:tc>
        <w:tc>
          <w:tcPr>
            <w:tcW w:w="109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23</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74</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35</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108</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073</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979</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529</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78</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113</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074</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979</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024</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70</w:t>
            </w:r>
          </w:p>
        </w:tc>
      </w:tr>
      <w:tr w:rsidR="00A64590" w:rsidRPr="00686018" w:rsidTr="007D362B">
        <w:trPr>
          <w:trHeight w:val="298"/>
          <w:jc w:val="center"/>
        </w:trPr>
        <w:tc>
          <w:tcPr>
            <w:tcW w:w="672"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00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w:t>
            </w:r>
          </w:p>
        </w:tc>
        <w:tc>
          <w:tcPr>
            <w:tcW w:w="107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30</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117</w:t>
            </w:r>
          </w:p>
        </w:tc>
        <w:tc>
          <w:tcPr>
            <w:tcW w:w="780"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177</w:t>
            </w:r>
          </w:p>
        </w:tc>
        <w:tc>
          <w:tcPr>
            <w:tcW w:w="781"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989</w:t>
            </w:r>
          </w:p>
        </w:tc>
        <w:tc>
          <w:tcPr>
            <w:tcW w:w="74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520</w:t>
            </w:r>
          </w:p>
        </w:tc>
        <w:tc>
          <w:tcPr>
            <w:tcW w:w="109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50</w:t>
            </w:r>
          </w:p>
        </w:tc>
      </w:tr>
      <w:tr w:rsidR="00A64590" w:rsidRPr="00686018" w:rsidTr="007D362B">
        <w:trPr>
          <w:trHeight w:val="298"/>
          <w:jc w:val="center"/>
        </w:trPr>
        <w:tc>
          <w:tcPr>
            <w:tcW w:w="672"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4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00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107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60</w:t>
            </w:r>
          </w:p>
        </w:tc>
        <w:tc>
          <w:tcPr>
            <w:tcW w:w="780"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129</w:t>
            </w:r>
          </w:p>
        </w:tc>
        <w:tc>
          <w:tcPr>
            <w:tcW w:w="780"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846</w:t>
            </w:r>
          </w:p>
        </w:tc>
        <w:tc>
          <w:tcPr>
            <w:tcW w:w="781"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991</w:t>
            </w:r>
          </w:p>
        </w:tc>
        <w:tc>
          <w:tcPr>
            <w:tcW w:w="74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951</w:t>
            </w:r>
          </w:p>
        </w:tc>
        <w:tc>
          <w:tcPr>
            <w:tcW w:w="109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81</w:t>
            </w:r>
          </w:p>
        </w:tc>
      </w:tr>
    </w:tbl>
    <w:p w:rsidR="0018229C" w:rsidRPr="00686018" w:rsidRDefault="00C165AA" w:rsidP="00A31608">
      <w:pPr>
        <w:jc w:val="both"/>
        <w:rPr>
          <w:rFonts w:ascii="Times New Roman" w:hAnsi="Times New Roman" w:cs="Times New Roman"/>
          <w:sz w:val="18"/>
        </w:rPr>
      </w:pPr>
      <w:r w:rsidRPr="00686018">
        <w:rPr>
          <w:rFonts w:ascii="Times New Roman" w:hAnsi="Times New Roman" w:cs="Times New Roman"/>
          <w:b/>
          <w:sz w:val="18"/>
        </w:rPr>
        <w:t>Fuente:</w:t>
      </w:r>
      <w:r w:rsidR="00E05C72"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5108A5" w:rsidRPr="00686018" w:rsidRDefault="005108A5" w:rsidP="00A31608">
      <w:pPr>
        <w:pStyle w:val="Descripcin"/>
        <w:spacing w:before="360"/>
        <w:jc w:val="both"/>
        <w:rPr>
          <w:rFonts w:ascii="Times New Roman" w:hAnsi="Times New Roman" w:cs="Times New Roman"/>
          <w:i w:val="0"/>
          <w:color w:val="000000" w:themeColor="text1"/>
        </w:rPr>
      </w:pPr>
      <w:bookmarkStart w:id="254" w:name="_Toc9537921"/>
      <w:r w:rsidRPr="00686018">
        <w:rPr>
          <w:rFonts w:ascii="Times New Roman" w:hAnsi="Times New Roman" w:cs="Times New Roman"/>
          <w:b/>
          <w:i w:val="0"/>
          <w:color w:val="000000" w:themeColor="text1"/>
        </w:rPr>
        <w:t xml:space="preserve">Tabla </w:t>
      </w:r>
      <w:r w:rsidRPr="00686018">
        <w:rPr>
          <w:rFonts w:ascii="Times New Roman" w:hAnsi="Times New Roman" w:cs="Times New Roman"/>
          <w:b/>
          <w:i w:val="0"/>
          <w:color w:val="000000" w:themeColor="text1"/>
        </w:rPr>
        <w:fldChar w:fldCharType="begin"/>
      </w:r>
      <w:r w:rsidRPr="00686018">
        <w:rPr>
          <w:rFonts w:ascii="Times New Roman" w:hAnsi="Times New Roman" w:cs="Times New Roman"/>
          <w:b/>
          <w:i w:val="0"/>
          <w:color w:val="000000" w:themeColor="text1"/>
        </w:rPr>
        <w:instrText xml:space="preserve"> SEQ Tabla \* ARABIC </w:instrText>
      </w:r>
      <w:r w:rsidRPr="00686018">
        <w:rPr>
          <w:rFonts w:ascii="Times New Roman" w:hAnsi="Times New Roman" w:cs="Times New Roman"/>
          <w:b/>
          <w:i w:val="0"/>
          <w:color w:val="000000" w:themeColor="text1"/>
        </w:rPr>
        <w:fldChar w:fldCharType="separate"/>
      </w:r>
      <w:r w:rsidR="00973AF5" w:rsidRPr="00686018">
        <w:rPr>
          <w:rFonts w:ascii="Times New Roman" w:hAnsi="Times New Roman" w:cs="Times New Roman"/>
          <w:b/>
          <w:i w:val="0"/>
          <w:noProof/>
          <w:color w:val="000000" w:themeColor="text1"/>
        </w:rPr>
        <w:t>18</w:t>
      </w:r>
      <w:r w:rsidRPr="00686018">
        <w:rPr>
          <w:rFonts w:ascii="Times New Roman" w:hAnsi="Times New Roman" w:cs="Times New Roman"/>
          <w:b/>
          <w:i w:val="0"/>
          <w:color w:val="000000" w:themeColor="text1"/>
        </w:rPr>
        <w:fldChar w:fldCharType="end"/>
      </w:r>
      <w:r w:rsidRPr="00686018">
        <w:rPr>
          <w:rFonts w:ascii="Times New Roman" w:hAnsi="Times New Roman" w:cs="Times New Roman"/>
          <w:b/>
          <w:i w:val="0"/>
          <w:color w:val="000000" w:themeColor="text1"/>
        </w:rPr>
        <w:t>.</w:t>
      </w:r>
      <w:r w:rsidRPr="00686018">
        <w:rPr>
          <w:rFonts w:ascii="Times New Roman" w:hAnsi="Times New Roman" w:cs="Times New Roman"/>
          <w:i w:val="0"/>
          <w:color w:val="000000" w:themeColor="text1"/>
        </w:rPr>
        <w:t xml:space="preserve"> Parámetros estimados del modelo de Primer Orden.</w:t>
      </w:r>
      <w:bookmarkEnd w:id="254"/>
    </w:p>
    <w:tbl>
      <w:tblPr>
        <w:tblW w:w="7980" w:type="dxa"/>
        <w:jc w:val="center"/>
        <w:tblCellMar>
          <w:left w:w="70" w:type="dxa"/>
          <w:right w:w="70" w:type="dxa"/>
        </w:tblCellMar>
        <w:tblLook w:val="04A0" w:firstRow="1" w:lastRow="0" w:firstColumn="1" w:lastColumn="0" w:noHBand="0" w:noVBand="1"/>
      </w:tblPr>
      <w:tblGrid>
        <w:gridCol w:w="903"/>
        <w:gridCol w:w="1113"/>
        <w:gridCol w:w="1264"/>
        <w:gridCol w:w="1014"/>
        <w:gridCol w:w="836"/>
        <w:gridCol w:w="838"/>
        <w:gridCol w:w="1019"/>
        <w:gridCol w:w="993"/>
      </w:tblGrid>
      <w:tr w:rsidR="00A64590" w:rsidRPr="00686018" w:rsidTr="007D362B">
        <w:trPr>
          <w:trHeight w:val="307"/>
          <w:jc w:val="center"/>
        </w:trPr>
        <w:tc>
          <w:tcPr>
            <w:tcW w:w="903"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I:S</w:t>
            </w:r>
          </w:p>
        </w:tc>
        <w:tc>
          <w:tcPr>
            <w:tcW w:w="1113"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Razón RE:TR</w:t>
            </w:r>
          </w:p>
        </w:tc>
        <w:tc>
          <w:tcPr>
            <w:tcW w:w="1264" w:type="dxa"/>
            <w:vMerge w:val="restart"/>
            <w:tcBorders>
              <w:top w:val="single" w:sz="4" w:space="0" w:color="auto"/>
            </w:tcBorders>
            <w:shd w:val="clear" w:color="auto" w:fill="auto"/>
            <w:noWrap/>
            <w:vAlign w:val="center"/>
            <w:hideMark/>
          </w:tcPr>
          <w:p w:rsidR="00711FF6"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RME</w:t>
            </w:r>
          </w:p>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w:t>
            </w:r>
            <w:r w:rsidR="00DD14D0">
              <w:rPr>
                <w:rFonts w:ascii="Times New Roman" w:eastAsia="Times New Roman" w:hAnsi="Times New Roman" w:cs="Times New Roman"/>
                <w:b/>
                <w:bCs/>
                <w:sz w:val="18"/>
                <w:szCs w:val="18"/>
                <w:lang w:eastAsia="es-EC"/>
              </w:rPr>
              <w:t>mL</w:t>
            </w:r>
            <w:r w:rsidRPr="00686018">
              <w:rPr>
                <w:rFonts w:ascii="Times New Roman" w:eastAsia="Times New Roman" w:hAnsi="Times New Roman" w:cs="Times New Roman"/>
                <w:b/>
                <w:bCs/>
                <w:sz w:val="18"/>
                <w:szCs w:val="18"/>
                <w:lang w:eastAsia="es-EC"/>
              </w:rPr>
              <w:t>/g-SV)</w:t>
            </w:r>
          </w:p>
        </w:tc>
        <w:tc>
          <w:tcPr>
            <w:tcW w:w="3707" w:type="dxa"/>
            <w:gridSpan w:val="4"/>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Modelo de Primer orden</w:t>
            </w:r>
          </w:p>
        </w:tc>
        <w:tc>
          <w:tcPr>
            <w:tcW w:w="993" w:type="dxa"/>
            <w:vMerge w:val="restart"/>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 Diferencia</w:t>
            </w:r>
          </w:p>
        </w:tc>
      </w:tr>
      <w:tr w:rsidR="00A64590" w:rsidRPr="00686018" w:rsidTr="007D362B">
        <w:trPr>
          <w:trHeight w:val="307"/>
          <w:jc w:val="center"/>
        </w:trPr>
        <w:tc>
          <w:tcPr>
            <w:tcW w:w="903"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113"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264"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c>
          <w:tcPr>
            <w:tcW w:w="1014"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Bo</w:t>
            </w:r>
          </w:p>
        </w:tc>
        <w:tc>
          <w:tcPr>
            <w:tcW w:w="836"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k</w:t>
            </w:r>
          </w:p>
        </w:tc>
        <w:tc>
          <w:tcPr>
            <w:tcW w:w="838"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R²</w:t>
            </w:r>
          </w:p>
        </w:tc>
        <w:tc>
          <w:tcPr>
            <w:tcW w:w="1017" w:type="dxa"/>
            <w:tcBorders>
              <w:top w:val="single" w:sz="4" w:space="0" w:color="auto"/>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RMSE</w:t>
            </w:r>
          </w:p>
        </w:tc>
        <w:tc>
          <w:tcPr>
            <w:tcW w:w="993"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p>
        </w:tc>
      </w:tr>
      <w:tr w:rsidR="00A64590" w:rsidRPr="00686018" w:rsidTr="007D362B">
        <w:trPr>
          <w:trHeight w:val="307"/>
          <w:jc w:val="center"/>
        </w:trPr>
        <w:tc>
          <w:tcPr>
            <w:tcW w:w="903"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p>
        </w:tc>
        <w:tc>
          <w:tcPr>
            <w:tcW w:w="111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26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92</w:t>
            </w:r>
          </w:p>
        </w:tc>
        <w:tc>
          <w:tcPr>
            <w:tcW w:w="101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61</w:t>
            </w:r>
          </w:p>
        </w:tc>
        <w:tc>
          <w:tcPr>
            <w:tcW w:w="83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099</w:t>
            </w:r>
          </w:p>
        </w:tc>
        <w:tc>
          <w:tcPr>
            <w:tcW w:w="83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991</w:t>
            </w:r>
          </w:p>
        </w:tc>
        <w:tc>
          <w:tcPr>
            <w:tcW w:w="101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418</w:t>
            </w:r>
          </w:p>
        </w:tc>
        <w:tc>
          <w:tcPr>
            <w:tcW w:w="99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94</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088</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994</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597</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01</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21</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32</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088</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0.983</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907</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39</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45</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084</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997</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104</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64</w:t>
            </w:r>
          </w:p>
        </w:tc>
      </w:tr>
      <w:tr w:rsidR="00A64590" w:rsidRPr="00686018" w:rsidTr="007D362B">
        <w:trPr>
          <w:trHeight w:val="307"/>
          <w:jc w:val="center"/>
        </w:trPr>
        <w:tc>
          <w:tcPr>
            <w:tcW w:w="903"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26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83</w:t>
            </w:r>
          </w:p>
        </w:tc>
        <w:tc>
          <w:tcPr>
            <w:tcW w:w="101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28</w:t>
            </w:r>
          </w:p>
        </w:tc>
        <w:tc>
          <w:tcPr>
            <w:tcW w:w="83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088</w:t>
            </w:r>
          </w:p>
        </w:tc>
        <w:tc>
          <w:tcPr>
            <w:tcW w:w="83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987</w:t>
            </w:r>
          </w:p>
        </w:tc>
        <w:tc>
          <w:tcPr>
            <w:tcW w:w="101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759</w:t>
            </w:r>
          </w:p>
        </w:tc>
        <w:tc>
          <w:tcPr>
            <w:tcW w:w="99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10</w:t>
            </w:r>
          </w:p>
        </w:tc>
      </w:tr>
      <w:tr w:rsidR="00A64590" w:rsidRPr="00686018" w:rsidTr="007D362B">
        <w:trPr>
          <w:trHeight w:val="307"/>
          <w:jc w:val="center"/>
        </w:trPr>
        <w:tc>
          <w:tcPr>
            <w:tcW w:w="903"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p>
        </w:tc>
        <w:tc>
          <w:tcPr>
            <w:tcW w:w="111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26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59</w:t>
            </w:r>
          </w:p>
        </w:tc>
        <w:tc>
          <w:tcPr>
            <w:tcW w:w="101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04</w:t>
            </w:r>
          </w:p>
        </w:tc>
        <w:tc>
          <w:tcPr>
            <w:tcW w:w="83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074</w:t>
            </w:r>
          </w:p>
        </w:tc>
        <w:tc>
          <w:tcPr>
            <w:tcW w:w="83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988</w:t>
            </w:r>
          </w:p>
        </w:tc>
        <w:tc>
          <w:tcPr>
            <w:tcW w:w="101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773</w:t>
            </w:r>
          </w:p>
        </w:tc>
        <w:tc>
          <w:tcPr>
            <w:tcW w:w="99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40</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63</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43</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085</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991</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174</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45</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38</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58</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085</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0.983</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396</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86</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84</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45</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077</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989</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410</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76</w:t>
            </w:r>
          </w:p>
        </w:tc>
      </w:tr>
      <w:tr w:rsidR="00A64590" w:rsidRPr="00686018" w:rsidTr="007D362B">
        <w:trPr>
          <w:trHeight w:val="307"/>
          <w:jc w:val="center"/>
        </w:trPr>
        <w:tc>
          <w:tcPr>
            <w:tcW w:w="903"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26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101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c>
          <w:tcPr>
            <w:tcW w:w="83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084</w:t>
            </w:r>
          </w:p>
        </w:tc>
        <w:tc>
          <w:tcPr>
            <w:tcW w:w="83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991</w:t>
            </w:r>
          </w:p>
        </w:tc>
        <w:tc>
          <w:tcPr>
            <w:tcW w:w="101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729</w:t>
            </w:r>
          </w:p>
        </w:tc>
        <w:tc>
          <w:tcPr>
            <w:tcW w:w="99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54</w:t>
            </w:r>
          </w:p>
        </w:tc>
      </w:tr>
      <w:tr w:rsidR="00A64590" w:rsidRPr="00686018" w:rsidTr="007D362B">
        <w:trPr>
          <w:trHeight w:val="307"/>
          <w:jc w:val="center"/>
        </w:trPr>
        <w:tc>
          <w:tcPr>
            <w:tcW w:w="903" w:type="dxa"/>
            <w:vMerge w:val="restart"/>
            <w:tcBorders>
              <w:top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p>
        </w:tc>
        <w:tc>
          <w:tcPr>
            <w:tcW w:w="111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- 0:4</w:t>
            </w:r>
          </w:p>
        </w:tc>
        <w:tc>
          <w:tcPr>
            <w:tcW w:w="126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07</w:t>
            </w:r>
          </w:p>
        </w:tc>
        <w:tc>
          <w:tcPr>
            <w:tcW w:w="1014"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34</w:t>
            </w:r>
          </w:p>
        </w:tc>
        <w:tc>
          <w:tcPr>
            <w:tcW w:w="836"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066</w:t>
            </w:r>
          </w:p>
        </w:tc>
        <w:tc>
          <w:tcPr>
            <w:tcW w:w="838"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950</w:t>
            </w:r>
          </w:p>
        </w:tc>
        <w:tc>
          <w:tcPr>
            <w:tcW w:w="1017"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206</w:t>
            </w:r>
          </w:p>
        </w:tc>
        <w:tc>
          <w:tcPr>
            <w:tcW w:w="993" w:type="dxa"/>
            <w:tcBorders>
              <w:top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55</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- 1:3</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74</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218</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93</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081</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977</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961</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03</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- 2:2</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29</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246</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06</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085</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978</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188</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75</w:t>
            </w:r>
          </w:p>
        </w:tc>
      </w:tr>
      <w:tr w:rsidR="00A64590" w:rsidRPr="00686018" w:rsidTr="007D362B">
        <w:trPr>
          <w:trHeight w:val="307"/>
          <w:jc w:val="center"/>
        </w:trPr>
        <w:tc>
          <w:tcPr>
            <w:tcW w:w="903" w:type="dxa"/>
            <w:vMerge/>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- 3:1</w:t>
            </w:r>
          </w:p>
        </w:tc>
        <w:tc>
          <w:tcPr>
            <w:tcW w:w="126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w:t>
            </w:r>
          </w:p>
        </w:tc>
        <w:tc>
          <w:tcPr>
            <w:tcW w:w="1014"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72</w:t>
            </w:r>
          </w:p>
        </w:tc>
        <w:tc>
          <w:tcPr>
            <w:tcW w:w="836"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089</w:t>
            </w:r>
          </w:p>
        </w:tc>
        <w:tc>
          <w:tcPr>
            <w:tcW w:w="838"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976</w:t>
            </w:r>
          </w:p>
        </w:tc>
        <w:tc>
          <w:tcPr>
            <w:tcW w:w="1017"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989</w:t>
            </w:r>
          </w:p>
        </w:tc>
        <w:tc>
          <w:tcPr>
            <w:tcW w:w="993" w:type="dxa"/>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w:t>
            </w:r>
          </w:p>
        </w:tc>
      </w:tr>
      <w:tr w:rsidR="00A64590" w:rsidRPr="00686018" w:rsidTr="007D362B">
        <w:trPr>
          <w:trHeight w:val="307"/>
          <w:jc w:val="center"/>
        </w:trPr>
        <w:tc>
          <w:tcPr>
            <w:tcW w:w="903" w:type="dxa"/>
            <w:vMerge/>
            <w:tcBorders>
              <w:bottom w:val="single" w:sz="4" w:space="0" w:color="auto"/>
            </w:tcBorders>
            <w:shd w:val="clear" w:color="auto" w:fill="auto"/>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p>
        </w:tc>
        <w:tc>
          <w:tcPr>
            <w:tcW w:w="111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RE:TR - 4:0</w:t>
            </w:r>
          </w:p>
        </w:tc>
        <w:tc>
          <w:tcPr>
            <w:tcW w:w="126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25</w:t>
            </w:r>
          </w:p>
        </w:tc>
        <w:tc>
          <w:tcPr>
            <w:tcW w:w="1014"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225</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95</w:t>
            </w:r>
          </w:p>
        </w:tc>
        <w:tc>
          <w:tcPr>
            <w:tcW w:w="836"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090</w:t>
            </w:r>
          </w:p>
        </w:tc>
        <w:tc>
          <w:tcPr>
            <w:tcW w:w="838"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986</w:t>
            </w:r>
          </w:p>
        </w:tc>
        <w:tc>
          <w:tcPr>
            <w:tcW w:w="1017"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277</w:t>
            </w:r>
          </w:p>
        </w:tc>
        <w:tc>
          <w:tcPr>
            <w:tcW w:w="993" w:type="dxa"/>
            <w:tcBorders>
              <w:bottom w:val="single" w:sz="4" w:space="0" w:color="auto"/>
            </w:tcBorders>
            <w:shd w:val="clear" w:color="auto" w:fill="auto"/>
            <w:noWrap/>
            <w:vAlign w:val="center"/>
            <w:hideMark/>
          </w:tcPr>
          <w:p w:rsidR="00A64590" w:rsidRPr="00686018" w:rsidRDefault="00A64590" w:rsidP="007D362B">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r w:rsidR="00123A60" w:rsidRPr="00686018">
              <w:rPr>
                <w:rFonts w:ascii="Times New Roman" w:eastAsia="Times New Roman" w:hAnsi="Times New Roman" w:cs="Times New Roman"/>
                <w:sz w:val="18"/>
                <w:szCs w:val="18"/>
                <w:lang w:eastAsia="es-EC"/>
              </w:rPr>
              <w:t>.</w:t>
            </w:r>
            <w:r w:rsidRPr="00686018">
              <w:rPr>
                <w:rFonts w:ascii="Times New Roman" w:eastAsia="Times New Roman" w:hAnsi="Times New Roman" w:cs="Times New Roman"/>
                <w:sz w:val="18"/>
                <w:szCs w:val="18"/>
                <w:lang w:eastAsia="es-EC"/>
              </w:rPr>
              <w:t>79</w:t>
            </w:r>
          </w:p>
        </w:tc>
      </w:tr>
    </w:tbl>
    <w:p w:rsidR="00406098" w:rsidRPr="00686018" w:rsidRDefault="005108A5" w:rsidP="00A31608">
      <w:pPr>
        <w:jc w:val="both"/>
        <w:rPr>
          <w:rFonts w:ascii="Times New Roman" w:hAnsi="Times New Roman" w:cs="Times New Roman"/>
          <w:sz w:val="18"/>
        </w:rPr>
      </w:pPr>
      <w:r w:rsidRPr="00686018">
        <w:rPr>
          <w:rFonts w:ascii="Times New Roman" w:hAnsi="Times New Roman" w:cs="Times New Roman"/>
          <w:b/>
          <w:sz w:val="18"/>
        </w:rPr>
        <w:t>Fuente:</w:t>
      </w:r>
      <w:r w:rsidR="001E4621"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18229C" w:rsidRPr="00686018" w:rsidRDefault="00722F8D" w:rsidP="00A31608">
      <w:pPr>
        <w:spacing w:before="360" w:after="360"/>
        <w:jc w:val="both"/>
        <w:rPr>
          <w:rFonts w:ascii="Times New Roman" w:hAnsi="Times New Roman" w:cs="Times New Roman"/>
          <w:sz w:val="24"/>
          <w:lang w:eastAsia="es-EC"/>
        </w:rPr>
      </w:pPr>
      <w:r w:rsidRPr="00686018">
        <w:rPr>
          <w:rFonts w:ascii="Times New Roman" w:hAnsi="Times New Roman" w:cs="Times New Roman"/>
          <w:sz w:val="24"/>
          <w:lang w:eastAsia="es-EC"/>
        </w:rPr>
        <w:t>En General, a</w:t>
      </w:r>
      <w:r w:rsidR="0018229C" w:rsidRPr="00686018">
        <w:rPr>
          <w:rFonts w:ascii="Times New Roman" w:hAnsi="Times New Roman" w:cs="Times New Roman"/>
          <w:sz w:val="24"/>
          <w:lang w:eastAsia="es-EC"/>
        </w:rPr>
        <w:t>un cuando el porcentaje de diferencia es menor con el modelo Modificado de Gompertz</w:t>
      </w:r>
      <w:r w:rsidRPr="00686018">
        <w:rPr>
          <w:rFonts w:ascii="Times New Roman" w:hAnsi="Times New Roman" w:cs="Times New Roman"/>
          <w:sz w:val="24"/>
          <w:lang w:eastAsia="es-EC"/>
        </w:rPr>
        <w:t xml:space="preserve"> para los tres experimentos</w:t>
      </w:r>
      <w:r w:rsidR="0018229C" w:rsidRPr="00686018">
        <w:rPr>
          <w:rFonts w:ascii="Times New Roman" w:hAnsi="Times New Roman" w:cs="Times New Roman"/>
          <w:sz w:val="24"/>
          <w:lang w:eastAsia="es-EC"/>
        </w:rPr>
        <w:t xml:space="preserve">, el coeficiente de correlación </w:t>
      </w:r>
      <w:r w:rsidRPr="00686018">
        <w:rPr>
          <w:rFonts w:ascii="Times New Roman" w:hAnsi="Times New Roman" w:cs="Times New Roman"/>
          <w:sz w:val="24"/>
          <w:lang w:eastAsia="es-EC"/>
        </w:rPr>
        <w:t>(R</w:t>
      </w:r>
      <w:r w:rsidRPr="00686018">
        <w:rPr>
          <w:rFonts w:ascii="Times New Roman" w:hAnsi="Times New Roman" w:cs="Times New Roman"/>
          <w:sz w:val="24"/>
          <w:vertAlign w:val="superscript"/>
          <w:lang w:eastAsia="es-EC"/>
        </w:rPr>
        <w:t>2</w:t>
      </w:r>
      <w:r w:rsidRPr="00686018">
        <w:rPr>
          <w:rFonts w:ascii="Times New Roman" w:hAnsi="Times New Roman" w:cs="Times New Roman"/>
          <w:sz w:val="24"/>
          <w:lang w:eastAsia="es-EC"/>
        </w:rPr>
        <w:t xml:space="preserve">) </w:t>
      </w:r>
      <w:r w:rsidR="0018229C" w:rsidRPr="00686018">
        <w:rPr>
          <w:rFonts w:ascii="Times New Roman" w:hAnsi="Times New Roman" w:cs="Times New Roman"/>
          <w:sz w:val="24"/>
          <w:lang w:eastAsia="es-EC"/>
        </w:rPr>
        <w:t xml:space="preserve">más alto se presentó con el modelo de función de Transferencia, esto es </w:t>
      </w:r>
      <w:r w:rsidRPr="00686018">
        <w:rPr>
          <w:rFonts w:ascii="Times New Roman" w:hAnsi="Times New Roman" w:cs="Times New Roman"/>
          <w:sz w:val="24"/>
          <w:lang w:eastAsia="es-EC"/>
        </w:rPr>
        <w:t>además</w:t>
      </w:r>
      <w:r w:rsidR="0018229C" w:rsidRPr="00686018">
        <w:rPr>
          <w:rFonts w:ascii="Times New Roman" w:hAnsi="Times New Roman" w:cs="Times New Roman"/>
          <w:sz w:val="24"/>
          <w:lang w:eastAsia="es-EC"/>
        </w:rPr>
        <w:t xml:space="preserve"> confirmando por RCME, que </w:t>
      </w:r>
      <w:r w:rsidRPr="00686018">
        <w:rPr>
          <w:rFonts w:ascii="Times New Roman" w:hAnsi="Times New Roman" w:cs="Times New Roman"/>
          <w:sz w:val="24"/>
          <w:lang w:eastAsia="es-EC"/>
        </w:rPr>
        <w:t xml:space="preserve">en promedio </w:t>
      </w:r>
      <w:r w:rsidR="0018229C" w:rsidRPr="00686018">
        <w:rPr>
          <w:rFonts w:ascii="Times New Roman" w:hAnsi="Times New Roman" w:cs="Times New Roman"/>
          <w:sz w:val="24"/>
          <w:lang w:eastAsia="es-EC"/>
        </w:rPr>
        <w:t xml:space="preserve">es </w:t>
      </w:r>
      <w:r w:rsidRPr="00686018">
        <w:rPr>
          <w:rFonts w:ascii="Times New Roman" w:hAnsi="Times New Roman" w:cs="Times New Roman"/>
          <w:sz w:val="24"/>
          <w:lang w:eastAsia="es-EC"/>
        </w:rPr>
        <w:t>más</w:t>
      </w:r>
      <w:r w:rsidR="0018229C" w:rsidRPr="00686018">
        <w:rPr>
          <w:rFonts w:ascii="Times New Roman" w:hAnsi="Times New Roman" w:cs="Times New Roman"/>
          <w:sz w:val="24"/>
          <w:lang w:eastAsia="es-EC"/>
        </w:rPr>
        <w:t xml:space="preserve"> alto con el modelo de Gompertz pero </w:t>
      </w:r>
      <w:r w:rsidRPr="00686018">
        <w:rPr>
          <w:rFonts w:ascii="Times New Roman" w:hAnsi="Times New Roman" w:cs="Times New Roman"/>
          <w:sz w:val="24"/>
          <w:lang w:eastAsia="es-EC"/>
        </w:rPr>
        <w:t>más</w:t>
      </w:r>
      <w:r w:rsidR="0018229C" w:rsidRPr="00686018">
        <w:rPr>
          <w:rFonts w:ascii="Times New Roman" w:hAnsi="Times New Roman" w:cs="Times New Roman"/>
          <w:sz w:val="24"/>
          <w:lang w:eastAsia="es-EC"/>
        </w:rPr>
        <w:t xml:space="preserve"> bajo con el modelo de</w:t>
      </w:r>
      <w:r w:rsidRPr="00686018">
        <w:rPr>
          <w:rFonts w:ascii="Times New Roman" w:hAnsi="Times New Roman" w:cs="Times New Roman"/>
          <w:sz w:val="24"/>
          <w:lang w:eastAsia="es-EC"/>
        </w:rPr>
        <w:t xml:space="preserve"> función de Transferencia</w:t>
      </w:r>
      <w:r w:rsidR="0018229C" w:rsidRPr="00686018">
        <w:rPr>
          <w:rFonts w:ascii="Times New Roman" w:hAnsi="Times New Roman" w:cs="Times New Roman"/>
          <w:sz w:val="24"/>
          <w:lang w:eastAsia="es-EC"/>
        </w:rPr>
        <w:t xml:space="preserve">. Por tanto, </w:t>
      </w:r>
      <w:r w:rsidRPr="00686018">
        <w:rPr>
          <w:rFonts w:ascii="Times New Roman" w:hAnsi="Times New Roman" w:cs="Times New Roman"/>
          <w:sz w:val="24"/>
          <w:lang w:eastAsia="es-EC"/>
        </w:rPr>
        <w:t>el modelo modificado de Gompertz es adecuado para ajustar los datos experimentales, sin embargo, no predice exactamente la fase de latencia, caso que no ocurre con el modelo de función de Transferencia.</w:t>
      </w:r>
    </w:p>
    <w:p w:rsidR="00FF23F8" w:rsidRPr="00686018" w:rsidRDefault="00FF23F8" w:rsidP="00A31608">
      <w:pPr>
        <w:jc w:val="both"/>
        <w:rPr>
          <w:rFonts w:ascii="Times New Roman" w:hAnsi="Times New Roman" w:cs="Times New Roman"/>
          <w:sz w:val="24"/>
          <w:lang w:eastAsia="es-EC"/>
        </w:rPr>
      </w:pPr>
    </w:p>
    <w:p w:rsidR="00FF23F8" w:rsidRPr="00686018" w:rsidRDefault="00FF23F8" w:rsidP="00A31608">
      <w:pPr>
        <w:jc w:val="both"/>
        <w:rPr>
          <w:rFonts w:ascii="Times New Roman" w:hAnsi="Times New Roman" w:cs="Times New Roman"/>
          <w:sz w:val="24"/>
          <w:lang w:eastAsia="es-EC"/>
        </w:rPr>
      </w:pPr>
    </w:p>
    <w:p w:rsidR="00FF23F8" w:rsidRPr="00686018" w:rsidRDefault="00FF23F8" w:rsidP="00A31608">
      <w:pPr>
        <w:jc w:val="both"/>
        <w:rPr>
          <w:rFonts w:ascii="Times New Roman" w:hAnsi="Times New Roman" w:cs="Times New Roman"/>
          <w:sz w:val="24"/>
          <w:lang w:eastAsia="es-EC"/>
        </w:rPr>
      </w:pPr>
    </w:p>
    <w:p w:rsidR="00FF23F8" w:rsidRDefault="00FF23F8" w:rsidP="00A31608">
      <w:pPr>
        <w:jc w:val="both"/>
        <w:rPr>
          <w:rFonts w:ascii="Times New Roman" w:hAnsi="Times New Roman" w:cs="Times New Roman"/>
          <w:sz w:val="24"/>
          <w:lang w:eastAsia="es-EC"/>
        </w:rPr>
      </w:pPr>
    </w:p>
    <w:p w:rsidR="00686018" w:rsidRPr="00686018" w:rsidRDefault="00686018" w:rsidP="00A31608">
      <w:pPr>
        <w:jc w:val="both"/>
        <w:rPr>
          <w:rFonts w:ascii="Times New Roman" w:hAnsi="Times New Roman" w:cs="Times New Roman"/>
          <w:sz w:val="24"/>
          <w:lang w:eastAsia="es-EC"/>
        </w:rPr>
      </w:pPr>
    </w:p>
    <w:p w:rsidR="003538F6" w:rsidRPr="00686018" w:rsidRDefault="003538F6" w:rsidP="00A31608">
      <w:pPr>
        <w:pStyle w:val="Ttulo1"/>
        <w:jc w:val="both"/>
        <w:rPr>
          <w:rFonts w:cs="Times New Roman"/>
        </w:rPr>
      </w:pPr>
      <w:bookmarkStart w:id="255" w:name="_Toc534724625"/>
      <w:bookmarkStart w:id="256" w:name="_Toc534817246"/>
      <w:bookmarkStart w:id="257" w:name="_Toc534817434"/>
      <w:bookmarkStart w:id="258" w:name="_Toc534817743"/>
      <w:bookmarkStart w:id="259" w:name="_Toc535410461"/>
      <w:bookmarkStart w:id="260" w:name="_Toc535410504"/>
      <w:bookmarkStart w:id="261" w:name="_Toc9537855"/>
      <w:r w:rsidRPr="00686018">
        <w:rPr>
          <w:rFonts w:cs="Times New Roman"/>
        </w:rPr>
        <w:lastRenderedPageBreak/>
        <w:t>CAPITULO VI</w:t>
      </w:r>
      <w:bookmarkEnd w:id="255"/>
      <w:bookmarkEnd w:id="256"/>
      <w:bookmarkEnd w:id="257"/>
      <w:bookmarkEnd w:id="258"/>
      <w:bookmarkEnd w:id="259"/>
      <w:bookmarkEnd w:id="260"/>
      <w:bookmarkEnd w:id="261"/>
    </w:p>
    <w:p w:rsidR="00DF46F4" w:rsidRPr="00686018" w:rsidRDefault="00C71383" w:rsidP="00A31608">
      <w:pPr>
        <w:pStyle w:val="Ttulo2"/>
        <w:numPr>
          <w:ilvl w:val="0"/>
          <w:numId w:val="4"/>
        </w:numPr>
        <w:jc w:val="both"/>
        <w:rPr>
          <w:rFonts w:cs="Times New Roman"/>
        </w:rPr>
      </w:pPr>
      <w:bookmarkStart w:id="262" w:name="_Toc534817236"/>
      <w:bookmarkStart w:id="263" w:name="_Toc534817419"/>
      <w:bookmarkStart w:id="264" w:name="_Toc534817726"/>
      <w:bookmarkStart w:id="265" w:name="_Toc535410429"/>
      <w:bookmarkStart w:id="266" w:name="_Toc535410495"/>
      <w:bookmarkStart w:id="267" w:name="_Toc9537856"/>
      <w:r w:rsidRPr="00686018">
        <w:rPr>
          <w:rFonts w:cs="Times New Roman"/>
        </w:rPr>
        <w:t>COMPROBACIÓN DE HIPÓTESIS</w:t>
      </w:r>
      <w:bookmarkEnd w:id="262"/>
      <w:bookmarkEnd w:id="263"/>
      <w:bookmarkEnd w:id="264"/>
      <w:bookmarkEnd w:id="265"/>
      <w:bookmarkEnd w:id="266"/>
      <w:bookmarkEnd w:id="267"/>
    </w:p>
    <w:p w:rsidR="00DF5E10" w:rsidRPr="00686018" w:rsidRDefault="00803BD4" w:rsidP="00A31608">
      <w:pPr>
        <w:spacing w:before="360" w:after="360"/>
        <w:jc w:val="both"/>
        <w:rPr>
          <w:rFonts w:ascii="Times New Roman" w:hAnsi="Times New Roman" w:cs="Times New Roman"/>
          <w:sz w:val="24"/>
        </w:rPr>
      </w:pPr>
      <w:r w:rsidRPr="00686018">
        <w:rPr>
          <w:rFonts w:ascii="Times New Roman" w:hAnsi="Times New Roman" w:cs="Times New Roman"/>
          <w:sz w:val="24"/>
        </w:rPr>
        <w:t>Con el fin de comprobar las hipótesis de investigación, se realizó el análisis de varianza a cada experimento con diferentes concentraciones de inoculo. Las tablas de comparaciones de medias a diferentes concentraciones de inoculo responde las cuestiones planteadas</w:t>
      </w:r>
      <w:r w:rsidR="00DF5E10" w:rsidRPr="00686018">
        <w:rPr>
          <w:rFonts w:ascii="Times New Roman" w:hAnsi="Times New Roman" w:cs="Times New Roman"/>
          <w:sz w:val="24"/>
        </w:rPr>
        <w:t xml:space="preserve"> con respecto a la máxima generación de biogás y metano.</w:t>
      </w:r>
      <w:r w:rsidRPr="00686018">
        <w:rPr>
          <w:rFonts w:ascii="Times New Roman" w:hAnsi="Times New Roman" w:cs="Times New Roman"/>
          <w:sz w:val="24"/>
        </w:rPr>
        <w:t xml:space="preserve"> </w:t>
      </w:r>
      <w:r w:rsidR="00DF5E10" w:rsidRPr="00686018">
        <w:rPr>
          <w:rFonts w:ascii="Times New Roman" w:hAnsi="Times New Roman" w:cs="Times New Roman"/>
          <w:sz w:val="24"/>
        </w:rPr>
        <w:t xml:space="preserve">Estas cuestiones son: Para maximizar la cantidad de biogás generado ¿es más efectiva la </w:t>
      </w:r>
      <w:r w:rsidR="004F5813" w:rsidRPr="00686018">
        <w:rPr>
          <w:rFonts w:ascii="Times New Roman" w:hAnsi="Times New Roman" w:cs="Times New Roman"/>
          <w:sz w:val="24"/>
        </w:rPr>
        <w:t xml:space="preserve">monodigestión </w:t>
      </w:r>
      <w:r w:rsidR="00DF5E10" w:rsidRPr="00686018">
        <w:rPr>
          <w:rFonts w:ascii="Times New Roman" w:hAnsi="Times New Roman" w:cs="Times New Roman"/>
          <w:sz w:val="24"/>
        </w:rPr>
        <w:t>o la codigestión? ¿Un porcentaje mayor o menor a 50% de RE favorece la cantidad de biogás generado</w:t>
      </w:r>
      <w:r w:rsidR="00FF5E6C">
        <w:rPr>
          <w:rFonts w:ascii="Times New Roman" w:hAnsi="Times New Roman" w:cs="Times New Roman"/>
          <w:sz w:val="24"/>
        </w:rPr>
        <w:t>, así como de metano</w:t>
      </w:r>
      <w:r w:rsidR="00DF5E10" w:rsidRPr="00686018">
        <w:rPr>
          <w:rFonts w:ascii="Times New Roman" w:hAnsi="Times New Roman" w:cs="Times New Roman"/>
          <w:sz w:val="24"/>
        </w:rPr>
        <w:t xml:space="preserve">? </w:t>
      </w:r>
    </w:p>
    <w:p w:rsidR="00DF5E10" w:rsidRPr="00686018" w:rsidRDefault="00DF5E10" w:rsidP="00A31608">
      <w:pPr>
        <w:spacing w:before="360" w:after="360"/>
        <w:jc w:val="both"/>
        <w:rPr>
          <w:rFonts w:ascii="Times New Roman" w:hAnsi="Times New Roman" w:cs="Times New Roman"/>
          <w:sz w:val="24"/>
        </w:rPr>
      </w:pPr>
      <w:r w:rsidRPr="00686018">
        <w:rPr>
          <w:rFonts w:ascii="Times New Roman" w:hAnsi="Times New Roman" w:cs="Times New Roman"/>
          <w:sz w:val="24"/>
        </w:rPr>
        <w:t>¿Es más efectivo añadir un porcentaje mayor, igual o menor de inóculo con respecto al sustrato para maximizar el biogás y metano generado? ¿Una mayor cantidad de biogás generado es proporcional al porcentaje de metano que lleva?</w:t>
      </w:r>
    </w:p>
    <w:p w:rsidR="00DF46F4" w:rsidRPr="00686018" w:rsidRDefault="00EE6698" w:rsidP="00A31608">
      <w:pPr>
        <w:pStyle w:val="Ttulo3"/>
        <w:numPr>
          <w:ilvl w:val="1"/>
          <w:numId w:val="4"/>
        </w:numPr>
        <w:ind w:left="431" w:hanging="431"/>
        <w:jc w:val="both"/>
        <w:rPr>
          <w:rFonts w:ascii="Times New Roman" w:hAnsi="Times New Roman" w:cs="Times New Roman"/>
          <w:i w:val="0"/>
        </w:rPr>
      </w:pPr>
      <w:bookmarkStart w:id="268" w:name="_Toc534817237"/>
      <w:bookmarkStart w:id="269" w:name="_Toc534817420"/>
      <w:bookmarkStart w:id="270" w:name="_Toc534817727"/>
      <w:bookmarkStart w:id="271" w:name="_Toc535410430"/>
      <w:bookmarkStart w:id="272" w:name="_Toc535410496"/>
      <w:bookmarkStart w:id="273" w:name="_Toc9537857"/>
      <w:r w:rsidRPr="00686018">
        <w:rPr>
          <w:rFonts w:ascii="Times New Roman" w:hAnsi="Times New Roman" w:cs="Times New Roman"/>
          <w:i w:val="0"/>
        </w:rPr>
        <w:t xml:space="preserve">Hipótesis </w:t>
      </w:r>
      <w:bookmarkEnd w:id="268"/>
      <w:bookmarkEnd w:id="269"/>
      <w:bookmarkEnd w:id="270"/>
      <w:bookmarkEnd w:id="271"/>
      <w:bookmarkEnd w:id="272"/>
      <w:r w:rsidRPr="00686018">
        <w:rPr>
          <w:rFonts w:ascii="Times New Roman" w:hAnsi="Times New Roman" w:cs="Times New Roman"/>
          <w:i w:val="0"/>
        </w:rPr>
        <w:t>de Investigación</w:t>
      </w:r>
      <w:bookmarkEnd w:id="273"/>
    </w:p>
    <w:p w:rsidR="00351E2A" w:rsidRPr="00686018" w:rsidRDefault="00351E2A" w:rsidP="00A31608">
      <w:pPr>
        <w:pStyle w:val="Ttulo4"/>
        <w:numPr>
          <w:ilvl w:val="2"/>
          <w:numId w:val="4"/>
        </w:numPr>
        <w:ind w:left="505" w:hanging="505"/>
        <w:jc w:val="both"/>
        <w:rPr>
          <w:rFonts w:ascii="Times New Roman" w:hAnsi="Times New Roman" w:cs="Times New Roman"/>
          <w:i w:val="0"/>
          <w:u w:val="none"/>
        </w:rPr>
      </w:pPr>
      <w:bookmarkStart w:id="274" w:name="_Toc9537858"/>
      <w:r w:rsidRPr="00686018">
        <w:rPr>
          <w:rFonts w:ascii="Times New Roman" w:hAnsi="Times New Roman" w:cs="Times New Roman"/>
          <w:i w:val="0"/>
          <w:u w:val="none"/>
        </w:rPr>
        <w:t>Hipótesis nula</w:t>
      </w:r>
      <w:bookmarkEnd w:id="274"/>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La codigestión anaerobia </w:t>
      </w:r>
      <w:r w:rsidR="00257570" w:rsidRPr="00686018">
        <w:rPr>
          <w:rFonts w:ascii="Times New Roman" w:hAnsi="Times New Roman" w:cs="Times New Roman"/>
          <w:sz w:val="24"/>
          <w:szCs w:val="24"/>
        </w:rPr>
        <w:t>mesofí</w:t>
      </w:r>
      <w:r w:rsidRPr="00686018">
        <w:rPr>
          <w:rFonts w:ascii="Times New Roman" w:hAnsi="Times New Roman" w:cs="Times New Roman"/>
          <w:sz w:val="24"/>
          <w:szCs w:val="24"/>
        </w:rPr>
        <w:t xml:space="preserve">lica a escala de laboratorio empleará residuo ruminal de vacas faenadas junto con paja de trigo para favorecer el efecto sinérgico de los materiales y aumentar la biodegradabilidad, dando como resultado un alto rendimiento de biogás. </w:t>
      </w:r>
    </w:p>
    <w:p w:rsidR="00351E2A" w:rsidRPr="00686018" w:rsidRDefault="00351E2A" w:rsidP="00A31608">
      <w:pPr>
        <w:pStyle w:val="Ttulo4"/>
        <w:numPr>
          <w:ilvl w:val="2"/>
          <w:numId w:val="4"/>
        </w:numPr>
        <w:ind w:left="505" w:hanging="505"/>
        <w:jc w:val="both"/>
        <w:rPr>
          <w:rFonts w:ascii="Times New Roman" w:hAnsi="Times New Roman" w:cs="Times New Roman"/>
          <w:i w:val="0"/>
          <w:u w:val="none"/>
        </w:rPr>
      </w:pPr>
      <w:bookmarkStart w:id="275" w:name="_Toc9537859"/>
      <w:r w:rsidRPr="00686018">
        <w:rPr>
          <w:rFonts w:ascii="Times New Roman" w:hAnsi="Times New Roman" w:cs="Times New Roman"/>
          <w:i w:val="0"/>
          <w:u w:val="none"/>
        </w:rPr>
        <w:t>Hipótesis alterna</w:t>
      </w:r>
      <w:bookmarkEnd w:id="275"/>
    </w:p>
    <w:p w:rsidR="00DF46F4" w:rsidRPr="00686018" w:rsidRDefault="00DF46F4" w:rsidP="00A31608">
      <w:pPr>
        <w:jc w:val="both"/>
        <w:rPr>
          <w:rFonts w:ascii="Times New Roman" w:hAnsi="Times New Roman" w:cs="Times New Roman"/>
          <w:sz w:val="24"/>
          <w:szCs w:val="24"/>
        </w:rPr>
      </w:pPr>
      <w:r w:rsidRPr="00686018">
        <w:rPr>
          <w:rFonts w:ascii="Times New Roman" w:hAnsi="Times New Roman" w:cs="Times New Roman"/>
          <w:sz w:val="24"/>
          <w:szCs w:val="24"/>
        </w:rPr>
        <w:t xml:space="preserve">La monodigestión anaerobia </w:t>
      </w:r>
      <w:r w:rsidR="00257570" w:rsidRPr="00686018">
        <w:rPr>
          <w:rFonts w:ascii="Times New Roman" w:hAnsi="Times New Roman" w:cs="Times New Roman"/>
          <w:sz w:val="24"/>
          <w:szCs w:val="24"/>
        </w:rPr>
        <w:t>mesofílica</w:t>
      </w:r>
      <w:r w:rsidRPr="00686018">
        <w:rPr>
          <w:rFonts w:ascii="Times New Roman" w:hAnsi="Times New Roman" w:cs="Times New Roman"/>
          <w:sz w:val="24"/>
          <w:szCs w:val="24"/>
        </w:rPr>
        <w:t xml:space="preserve"> a escala de laboratorio empleará residuo ruminal de vacas faenadas y paja de trigo, para aumentar la biodegradabilidad individual, dando como resultado un alto rendimiento de biogás. </w:t>
      </w:r>
    </w:p>
    <w:p w:rsidR="00EE6698" w:rsidRPr="00686018" w:rsidRDefault="00EE6698" w:rsidP="00A31608">
      <w:pPr>
        <w:pStyle w:val="Ttulo3"/>
        <w:numPr>
          <w:ilvl w:val="1"/>
          <w:numId w:val="4"/>
        </w:numPr>
        <w:ind w:left="431" w:hanging="431"/>
        <w:jc w:val="both"/>
        <w:rPr>
          <w:rFonts w:ascii="Times New Roman" w:hAnsi="Times New Roman" w:cs="Times New Roman"/>
          <w:i w:val="0"/>
        </w:rPr>
      </w:pPr>
      <w:bookmarkStart w:id="276" w:name="_Toc9537860"/>
      <w:r w:rsidRPr="00686018">
        <w:rPr>
          <w:rFonts w:ascii="Times New Roman" w:hAnsi="Times New Roman" w:cs="Times New Roman"/>
          <w:i w:val="0"/>
        </w:rPr>
        <w:t>Análisis de varianza</w:t>
      </w:r>
      <w:bookmarkEnd w:id="276"/>
    </w:p>
    <w:p w:rsidR="004947CD" w:rsidRPr="00686018" w:rsidRDefault="00351E2A" w:rsidP="00A31608">
      <w:pPr>
        <w:pStyle w:val="Ttulo4"/>
        <w:numPr>
          <w:ilvl w:val="2"/>
          <w:numId w:val="4"/>
        </w:numPr>
        <w:ind w:left="505" w:hanging="505"/>
        <w:jc w:val="both"/>
        <w:rPr>
          <w:rFonts w:ascii="Times New Roman" w:hAnsi="Times New Roman" w:cs="Times New Roman"/>
          <w:i w:val="0"/>
          <w:u w:val="none"/>
        </w:rPr>
      </w:pPr>
      <w:bookmarkStart w:id="277" w:name="_Toc9537861"/>
      <w:r w:rsidRPr="00686018">
        <w:rPr>
          <w:rFonts w:ascii="Times New Roman" w:hAnsi="Times New Roman" w:cs="Times New Roman"/>
          <w:i w:val="0"/>
          <w:u w:val="none"/>
        </w:rPr>
        <w:t>A</w:t>
      </w:r>
      <w:r w:rsidR="00E332E8" w:rsidRPr="00686018">
        <w:rPr>
          <w:rFonts w:ascii="Times New Roman" w:hAnsi="Times New Roman" w:cs="Times New Roman"/>
          <w:i w:val="0"/>
          <w:u w:val="none"/>
        </w:rPr>
        <w:t xml:space="preserve">NOVA </w:t>
      </w:r>
      <w:r w:rsidRPr="00686018">
        <w:rPr>
          <w:rFonts w:ascii="Times New Roman" w:hAnsi="Times New Roman" w:cs="Times New Roman"/>
          <w:i w:val="0"/>
          <w:u w:val="none"/>
        </w:rPr>
        <w:t xml:space="preserve">para </w:t>
      </w:r>
      <w:r w:rsidR="00DD14D0">
        <w:rPr>
          <w:rFonts w:ascii="Times New Roman" w:hAnsi="Times New Roman" w:cs="Times New Roman"/>
          <w:i w:val="0"/>
          <w:u w:val="none"/>
        </w:rPr>
        <w:t>mL</w:t>
      </w:r>
      <w:r w:rsidR="00E332E8" w:rsidRPr="00686018">
        <w:rPr>
          <w:rFonts w:ascii="Times New Roman" w:hAnsi="Times New Roman" w:cs="Times New Roman"/>
          <w:i w:val="0"/>
          <w:u w:val="none"/>
        </w:rPr>
        <w:t xml:space="preserve">Biogás/g-SV, </w:t>
      </w:r>
      <w:r w:rsidR="00DD14D0">
        <w:rPr>
          <w:rFonts w:ascii="Times New Roman" w:hAnsi="Times New Roman" w:cs="Times New Roman"/>
          <w:i w:val="0"/>
          <w:u w:val="none"/>
        </w:rPr>
        <w:t>mL</w:t>
      </w:r>
      <w:r w:rsidR="000268E7" w:rsidRPr="00686018">
        <w:rPr>
          <w:rFonts w:ascii="Times New Roman" w:hAnsi="Times New Roman" w:cs="Times New Roman"/>
          <w:i w:val="0"/>
          <w:u w:val="none"/>
        </w:rPr>
        <w:t xml:space="preserve">CH4/g-SV y %CH4 </w:t>
      </w:r>
      <w:r w:rsidR="00EE6698" w:rsidRPr="00686018">
        <w:rPr>
          <w:rFonts w:ascii="Times New Roman" w:hAnsi="Times New Roman" w:cs="Times New Roman"/>
          <w:i w:val="0"/>
          <w:u w:val="none"/>
        </w:rPr>
        <w:t>a razones diferentes de I:S</w:t>
      </w:r>
      <w:bookmarkEnd w:id="277"/>
      <w:r w:rsidR="00EE6698" w:rsidRPr="00686018">
        <w:rPr>
          <w:rFonts w:ascii="Times New Roman" w:hAnsi="Times New Roman" w:cs="Times New Roman"/>
          <w:i w:val="0"/>
          <w:u w:val="none"/>
        </w:rPr>
        <w:t xml:space="preserve"> </w:t>
      </w:r>
    </w:p>
    <w:p w:rsidR="004947CD" w:rsidRPr="00686018" w:rsidRDefault="00993441" w:rsidP="00A31608">
      <w:pPr>
        <w:spacing w:after="360"/>
        <w:jc w:val="both"/>
        <w:rPr>
          <w:rFonts w:ascii="Times New Roman" w:hAnsi="Times New Roman" w:cs="Times New Roman"/>
        </w:rPr>
      </w:pPr>
      <w:r w:rsidRPr="00686018">
        <w:rPr>
          <w:rFonts w:ascii="Times New Roman" w:hAnsi="Times New Roman" w:cs="Times New Roman"/>
          <w:sz w:val="24"/>
        </w:rPr>
        <w:t>Las tablas</w:t>
      </w:r>
      <w:r w:rsidR="00DF5E10" w:rsidRPr="00686018">
        <w:rPr>
          <w:rFonts w:ascii="Times New Roman" w:hAnsi="Times New Roman" w:cs="Times New Roman"/>
          <w:sz w:val="24"/>
        </w:rPr>
        <w:t xml:space="preserve"> </w:t>
      </w:r>
      <w:r w:rsidRPr="00686018">
        <w:rPr>
          <w:rFonts w:ascii="Times New Roman" w:hAnsi="Times New Roman" w:cs="Times New Roman"/>
          <w:sz w:val="24"/>
        </w:rPr>
        <w:t xml:space="preserve">siguientes </w:t>
      </w:r>
      <w:r w:rsidR="00DF5E10" w:rsidRPr="00686018">
        <w:rPr>
          <w:rFonts w:ascii="Times New Roman" w:hAnsi="Times New Roman" w:cs="Times New Roman"/>
          <w:sz w:val="24"/>
        </w:rPr>
        <w:t>evidencia</w:t>
      </w:r>
      <w:r w:rsidRPr="00686018">
        <w:rPr>
          <w:rFonts w:ascii="Times New Roman" w:hAnsi="Times New Roman" w:cs="Times New Roman"/>
          <w:sz w:val="24"/>
        </w:rPr>
        <w:t>n</w:t>
      </w:r>
      <w:r w:rsidR="00DF5E10" w:rsidRPr="00686018">
        <w:rPr>
          <w:rFonts w:ascii="Times New Roman" w:hAnsi="Times New Roman" w:cs="Times New Roman"/>
          <w:sz w:val="24"/>
        </w:rPr>
        <w:t xml:space="preserve"> la diferencia existente entre las diferentes concentraciones de RE y TR al momento de generar biogás</w:t>
      </w:r>
      <w:r w:rsidR="00A13FE5" w:rsidRPr="00686018">
        <w:rPr>
          <w:rFonts w:ascii="Times New Roman" w:hAnsi="Times New Roman" w:cs="Times New Roman"/>
        </w:rPr>
        <w:t xml:space="preserve"> </w:t>
      </w:r>
      <w:r w:rsidR="00A13FE5" w:rsidRPr="00686018">
        <w:rPr>
          <w:rFonts w:ascii="Times New Roman" w:hAnsi="Times New Roman" w:cs="Times New Roman"/>
          <w:sz w:val="24"/>
        </w:rPr>
        <w:t>para razones diferentes de I:S</w:t>
      </w:r>
      <w:r w:rsidR="00DF5E10" w:rsidRPr="00686018">
        <w:rPr>
          <w:rFonts w:ascii="Times New Roman" w:hAnsi="Times New Roman" w:cs="Times New Roman"/>
        </w:rPr>
        <w:t>.</w:t>
      </w:r>
    </w:p>
    <w:p w:rsidR="00EE6698" w:rsidRPr="00686018" w:rsidRDefault="00EE6698" w:rsidP="00A31608">
      <w:pPr>
        <w:spacing w:after="360"/>
        <w:jc w:val="both"/>
        <w:rPr>
          <w:rFonts w:ascii="Times New Roman" w:hAnsi="Times New Roman" w:cs="Times New Roman"/>
        </w:rPr>
      </w:pPr>
    </w:p>
    <w:p w:rsidR="00EE6698" w:rsidRPr="00686018" w:rsidRDefault="00E332E8" w:rsidP="00A31608">
      <w:pPr>
        <w:pStyle w:val="Ttulo5"/>
        <w:numPr>
          <w:ilvl w:val="3"/>
          <w:numId w:val="4"/>
        </w:numPr>
        <w:ind w:left="646" w:hanging="646"/>
        <w:jc w:val="both"/>
        <w:rPr>
          <w:rFonts w:ascii="Times New Roman" w:hAnsi="Times New Roman" w:cs="Times New Roman"/>
          <w:i w:val="0"/>
        </w:rPr>
      </w:pPr>
      <w:bookmarkStart w:id="278" w:name="_Toc9537862"/>
      <w:r w:rsidRPr="00686018">
        <w:rPr>
          <w:rFonts w:ascii="Times New Roman" w:hAnsi="Times New Roman" w:cs="Times New Roman"/>
          <w:i w:val="0"/>
        </w:rPr>
        <w:lastRenderedPageBreak/>
        <w:t xml:space="preserve">ANOVA </w:t>
      </w:r>
      <w:r w:rsidR="00EE6698" w:rsidRPr="00686018">
        <w:rPr>
          <w:rFonts w:ascii="Times New Roman" w:hAnsi="Times New Roman" w:cs="Times New Roman"/>
          <w:i w:val="0"/>
        </w:rPr>
        <w:t xml:space="preserve">para </w:t>
      </w:r>
      <w:r w:rsidR="00DD14D0">
        <w:rPr>
          <w:rFonts w:ascii="Times New Roman" w:hAnsi="Times New Roman" w:cs="Times New Roman"/>
          <w:i w:val="0"/>
        </w:rPr>
        <w:t>mL</w:t>
      </w:r>
      <w:r w:rsidRPr="00686018">
        <w:rPr>
          <w:rFonts w:ascii="Times New Roman" w:hAnsi="Times New Roman" w:cs="Times New Roman"/>
          <w:i w:val="0"/>
        </w:rPr>
        <w:t xml:space="preserve">Biogás/g-SV, </w:t>
      </w:r>
      <w:r w:rsidR="00DD14D0">
        <w:rPr>
          <w:rFonts w:ascii="Times New Roman" w:hAnsi="Times New Roman" w:cs="Times New Roman"/>
          <w:i w:val="0"/>
        </w:rPr>
        <w:t>mL</w:t>
      </w:r>
      <w:r w:rsidR="000268E7" w:rsidRPr="00686018">
        <w:rPr>
          <w:rFonts w:ascii="Times New Roman" w:hAnsi="Times New Roman" w:cs="Times New Roman"/>
          <w:i w:val="0"/>
        </w:rPr>
        <w:t xml:space="preserve">CH4/g-SV y %CH4 </w:t>
      </w:r>
      <w:r w:rsidR="00EE6698" w:rsidRPr="00686018">
        <w:rPr>
          <w:rFonts w:ascii="Times New Roman" w:hAnsi="Times New Roman" w:cs="Times New Roman"/>
          <w:i w:val="0"/>
        </w:rPr>
        <w:t>a una razón I:S</w:t>
      </w:r>
      <w:r w:rsidR="00F07ECE" w:rsidRPr="00686018">
        <w:rPr>
          <w:rFonts w:ascii="Times New Roman" w:hAnsi="Times New Roman" w:cs="Times New Roman"/>
          <w:i w:val="0"/>
        </w:rPr>
        <w:t>–2</w:t>
      </w:r>
      <w:r w:rsidR="00EE6698" w:rsidRPr="00686018">
        <w:rPr>
          <w:rFonts w:ascii="Times New Roman" w:hAnsi="Times New Roman" w:cs="Times New Roman"/>
          <w:i w:val="0"/>
        </w:rPr>
        <w:t>:</w:t>
      </w:r>
      <w:r w:rsidR="00F07ECE" w:rsidRPr="00686018">
        <w:rPr>
          <w:rFonts w:ascii="Times New Roman" w:hAnsi="Times New Roman" w:cs="Times New Roman"/>
          <w:i w:val="0"/>
        </w:rPr>
        <w:t>1</w:t>
      </w:r>
      <w:bookmarkEnd w:id="278"/>
    </w:p>
    <w:p w:rsidR="004531C6" w:rsidRPr="00686018" w:rsidRDefault="004531C6" w:rsidP="00A31608">
      <w:pPr>
        <w:pStyle w:val="Descripcin"/>
        <w:jc w:val="both"/>
        <w:rPr>
          <w:rFonts w:ascii="Times New Roman" w:hAnsi="Times New Roman" w:cs="Times New Roman"/>
          <w:i w:val="0"/>
          <w:color w:val="auto"/>
        </w:rPr>
      </w:pPr>
      <w:bookmarkStart w:id="279" w:name="_Toc9537922"/>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19</w:t>
      </w:r>
      <w:r w:rsidRPr="00686018">
        <w:rPr>
          <w:rFonts w:ascii="Times New Roman" w:hAnsi="Times New Roman" w:cs="Times New Roman"/>
          <w:b/>
          <w:i w:val="0"/>
          <w:color w:val="auto"/>
        </w:rPr>
        <w:fldChar w:fldCharType="end"/>
      </w:r>
      <w:r w:rsidRPr="00686018">
        <w:rPr>
          <w:rFonts w:ascii="Times New Roman" w:hAnsi="Times New Roman" w:cs="Times New Roman"/>
          <w:i w:val="0"/>
          <w:color w:val="auto"/>
        </w:rPr>
        <w:t xml:space="preserve">. ANOVA para </w:t>
      </w:r>
      <w:r w:rsidR="00DD14D0">
        <w:rPr>
          <w:rFonts w:ascii="Times New Roman" w:hAnsi="Times New Roman" w:cs="Times New Roman"/>
          <w:i w:val="0"/>
          <w:color w:val="auto"/>
        </w:rPr>
        <w:t>mL</w:t>
      </w:r>
      <w:r w:rsidRPr="00686018">
        <w:rPr>
          <w:rFonts w:ascii="Times New Roman" w:hAnsi="Times New Roman" w:cs="Times New Roman"/>
          <w:i w:val="0"/>
          <w:color w:val="auto"/>
        </w:rPr>
        <w:t xml:space="preserve"> Biogás</w:t>
      </w:r>
      <w:r w:rsidR="00A13FE5" w:rsidRPr="00686018">
        <w:rPr>
          <w:rFonts w:ascii="Times New Roman" w:hAnsi="Times New Roman" w:cs="Times New Roman"/>
          <w:i w:val="0"/>
          <w:color w:val="auto"/>
        </w:rPr>
        <w:t>/g-SV</w:t>
      </w:r>
      <w:r w:rsidR="000268E7" w:rsidRPr="00686018">
        <w:rPr>
          <w:rFonts w:ascii="Times New Roman" w:hAnsi="Times New Roman" w:cs="Times New Roman"/>
          <w:i w:val="0"/>
          <w:color w:val="auto"/>
        </w:rPr>
        <w:t xml:space="preserve">, </w:t>
      </w:r>
      <w:r w:rsidR="00DD14D0">
        <w:rPr>
          <w:rFonts w:ascii="Times New Roman" w:hAnsi="Times New Roman" w:cs="Times New Roman"/>
          <w:i w:val="0"/>
          <w:color w:val="auto"/>
        </w:rPr>
        <w:t>mL</w:t>
      </w:r>
      <w:r w:rsidR="000268E7" w:rsidRPr="00686018">
        <w:rPr>
          <w:rFonts w:ascii="Times New Roman" w:hAnsi="Times New Roman" w:cs="Times New Roman"/>
          <w:i w:val="0"/>
          <w:color w:val="auto"/>
        </w:rPr>
        <w:t xml:space="preserve"> CH4/g-SV y %CH</w:t>
      </w:r>
      <w:r w:rsidR="000268E7" w:rsidRPr="00686018">
        <w:rPr>
          <w:rFonts w:ascii="Times New Roman" w:hAnsi="Times New Roman" w:cs="Times New Roman"/>
          <w:i w:val="0"/>
          <w:color w:val="auto"/>
          <w:vertAlign w:val="subscript"/>
        </w:rPr>
        <w:t>4</w:t>
      </w:r>
      <w:r w:rsidR="00A13FE5" w:rsidRPr="00686018">
        <w:rPr>
          <w:rFonts w:ascii="Times New Roman" w:hAnsi="Times New Roman" w:cs="Times New Roman"/>
          <w:i w:val="0"/>
          <w:color w:val="auto"/>
          <w:vertAlign w:val="subscript"/>
        </w:rPr>
        <w:t xml:space="preserve"> </w:t>
      </w:r>
      <w:r w:rsidR="00A13FE5" w:rsidRPr="00686018">
        <w:rPr>
          <w:rFonts w:ascii="Times New Roman" w:hAnsi="Times New Roman" w:cs="Times New Roman"/>
          <w:i w:val="0"/>
          <w:color w:val="auto"/>
        </w:rPr>
        <w:t>para</w:t>
      </w:r>
      <w:r w:rsidRPr="00686018">
        <w:rPr>
          <w:rFonts w:ascii="Times New Roman" w:hAnsi="Times New Roman" w:cs="Times New Roman"/>
          <w:i w:val="0"/>
          <w:color w:val="auto"/>
        </w:rPr>
        <w:t xml:space="preserve"> </w:t>
      </w:r>
      <w:r w:rsidR="00A13FE5" w:rsidRPr="00686018">
        <w:rPr>
          <w:rFonts w:ascii="Times New Roman" w:hAnsi="Times New Roman" w:cs="Times New Roman"/>
          <w:i w:val="0"/>
          <w:color w:val="auto"/>
        </w:rPr>
        <w:t>una razón I:S – 2:1</w:t>
      </w:r>
      <w:bookmarkEnd w:id="279"/>
    </w:p>
    <w:tbl>
      <w:tblPr>
        <w:tblW w:w="7881" w:type="dxa"/>
        <w:jc w:val="center"/>
        <w:tblCellMar>
          <w:left w:w="70" w:type="dxa"/>
          <w:right w:w="70" w:type="dxa"/>
        </w:tblCellMar>
        <w:tblLook w:val="04A0" w:firstRow="1" w:lastRow="0" w:firstColumn="1" w:lastColumn="0" w:noHBand="0" w:noVBand="1"/>
      </w:tblPr>
      <w:tblGrid>
        <w:gridCol w:w="1776"/>
        <w:gridCol w:w="1064"/>
        <w:gridCol w:w="1242"/>
        <w:gridCol w:w="1420"/>
        <w:gridCol w:w="1241"/>
        <w:gridCol w:w="1138"/>
      </w:tblGrid>
      <w:tr w:rsidR="002B0C27" w:rsidRPr="00686018" w:rsidTr="007D362B">
        <w:trPr>
          <w:trHeight w:val="268"/>
          <w:jc w:val="center"/>
        </w:trPr>
        <w:tc>
          <w:tcPr>
            <w:tcW w:w="7881" w:type="dxa"/>
            <w:gridSpan w:val="6"/>
            <w:tcBorders>
              <w:top w:val="single" w:sz="4" w:space="0" w:color="auto"/>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Cs/>
                <w:color w:val="004D72"/>
                <w:sz w:val="18"/>
                <w:szCs w:val="18"/>
                <w:lang w:eastAsia="es-EC"/>
              </w:rPr>
            </w:pPr>
            <w:r w:rsidRPr="00686018">
              <w:rPr>
                <w:rFonts w:ascii="Times New Roman" w:eastAsia="Times New Roman" w:hAnsi="Times New Roman" w:cs="Times New Roman"/>
                <w:bCs/>
                <w:color w:val="004D72"/>
                <w:sz w:val="18"/>
                <w:szCs w:val="18"/>
                <w:lang w:eastAsia="es-EC"/>
              </w:rPr>
              <w:t xml:space="preserve">Análisis de Varianza </w:t>
            </w:r>
            <w:r w:rsidR="00DD14D0">
              <w:rPr>
                <w:rFonts w:ascii="Times New Roman" w:eastAsia="Times New Roman" w:hAnsi="Times New Roman" w:cs="Times New Roman"/>
                <w:bCs/>
                <w:color w:val="004D72"/>
                <w:sz w:val="18"/>
                <w:szCs w:val="18"/>
                <w:lang w:eastAsia="es-EC"/>
              </w:rPr>
              <w:t>mL</w:t>
            </w:r>
            <w:r w:rsidRPr="00686018">
              <w:rPr>
                <w:rFonts w:ascii="Times New Roman" w:eastAsia="Times New Roman" w:hAnsi="Times New Roman" w:cs="Times New Roman"/>
                <w:bCs/>
                <w:color w:val="004D72"/>
                <w:sz w:val="18"/>
                <w:szCs w:val="18"/>
                <w:lang w:eastAsia="es-EC"/>
              </w:rPr>
              <w:t xml:space="preserve"> Biogás/g-SV</w:t>
            </w:r>
          </w:p>
        </w:tc>
      </w:tr>
      <w:tr w:rsidR="000268E7" w:rsidRPr="00686018" w:rsidTr="007D362B">
        <w:trPr>
          <w:trHeight w:val="268"/>
          <w:jc w:val="center"/>
        </w:trPr>
        <w:tc>
          <w:tcPr>
            <w:tcW w:w="177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Fuente</w:t>
            </w:r>
          </w:p>
        </w:tc>
        <w:tc>
          <w:tcPr>
            <w:tcW w:w="1064"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GL</w:t>
            </w:r>
          </w:p>
        </w:tc>
        <w:tc>
          <w:tcPr>
            <w:tcW w:w="1242" w:type="dxa"/>
            <w:tcBorders>
              <w:top w:val="nil"/>
              <w:left w:val="nil"/>
              <w:bottom w:val="single" w:sz="4" w:space="0" w:color="auto"/>
              <w:right w:val="nil"/>
            </w:tcBorders>
            <w:shd w:val="clear" w:color="auto" w:fill="auto"/>
            <w:noWrap/>
            <w:vAlign w:val="center"/>
            <w:hideMark/>
          </w:tcPr>
          <w:p w:rsidR="002B0C27" w:rsidRPr="00686018" w:rsidRDefault="000268E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SC Ajustado</w:t>
            </w:r>
          </w:p>
        </w:tc>
        <w:tc>
          <w:tcPr>
            <w:tcW w:w="1420" w:type="dxa"/>
            <w:tcBorders>
              <w:top w:val="nil"/>
              <w:left w:val="nil"/>
              <w:bottom w:val="single" w:sz="4" w:space="0" w:color="auto"/>
              <w:right w:val="nil"/>
            </w:tcBorders>
            <w:shd w:val="clear" w:color="auto" w:fill="auto"/>
            <w:noWrap/>
            <w:vAlign w:val="center"/>
            <w:hideMark/>
          </w:tcPr>
          <w:p w:rsidR="002B0C27" w:rsidRPr="00686018" w:rsidRDefault="000268E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MC Ajustado</w:t>
            </w:r>
          </w:p>
        </w:tc>
        <w:tc>
          <w:tcPr>
            <w:tcW w:w="1241"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F</w:t>
            </w:r>
          </w:p>
        </w:tc>
        <w:tc>
          <w:tcPr>
            <w:tcW w:w="113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p</w:t>
            </w:r>
          </w:p>
        </w:tc>
      </w:tr>
      <w:tr w:rsidR="000268E7" w:rsidRPr="00686018" w:rsidTr="007D362B">
        <w:trPr>
          <w:trHeight w:val="268"/>
          <w:jc w:val="center"/>
        </w:trPr>
        <w:tc>
          <w:tcPr>
            <w:tcW w:w="177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1064"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1242"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40041</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w:t>
            </w:r>
          </w:p>
        </w:tc>
        <w:tc>
          <w:tcPr>
            <w:tcW w:w="1420"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10010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w:t>
            </w:r>
          </w:p>
        </w:tc>
        <w:tc>
          <w:tcPr>
            <w:tcW w:w="1241"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69</w:t>
            </w:r>
          </w:p>
        </w:tc>
        <w:tc>
          <w:tcPr>
            <w:tcW w:w="113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r>
      <w:tr w:rsidR="000268E7" w:rsidRPr="00686018" w:rsidTr="007D362B">
        <w:trPr>
          <w:trHeight w:val="268"/>
          <w:jc w:val="center"/>
        </w:trPr>
        <w:tc>
          <w:tcPr>
            <w:tcW w:w="177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Error</w:t>
            </w:r>
          </w:p>
        </w:tc>
        <w:tc>
          <w:tcPr>
            <w:tcW w:w="1064"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1242"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453</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w:t>
            </w:r>
          </w:p>
        </w:tc>
        <w:tc>
          <w:tcPr>
            <w:tcW w:w="1420"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w:t>
            </w:r>
          </w:p>
        </w:tc>
        <w:tc>
          <w:tcPr>
            <w:tcW w:w="1241"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p>
        </w:tc>
        <w:tc>
          <w:tcPr>
            <w:tcW w:w="113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sz w:val="20"/>
                <w:szCs w:val="20"/>
                <w:lang w:eastAsia="es-EC"/>
              </w:rPr>
            </w:pPr>
          </w:p>
        </w:tc>
      </w:tr>
      <w:tr w:rsidR="000268E7" w:rsidRPr="00686018" w:rsidTr="007D362B">
        <w:trPr>
          <w:trHeight w:val="268"/>
          <w:jc w:val="center"/>
        </w:trPr>
        <w:tc>
          <w:tcPr>
            <w:tcW w:w="177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Total</w:t>
            </w:r>
          </w:p>
        </w:tc>
        <w:tc>
          <w:tcPr>
            <w:tcW w:w="1064"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1242"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40495</w:t>
            </w:r>
            <w:r w:rsidR="00C44C20">
              <w:rPr>
                <w:rFonts w:ascii="Times New Roman" w:eastAsia="Times New Roman" w:hAnsi="Times New Roman" w:cs="Times New Roman"/>
                <w:color w:val="000000"/>
                <w:sz w:val="18"/>
                <w:szCs w:val="18"/>
                <w:lang w:eastAsia="es-EC"/>
              </w:rPr>
              <w:t>.0</w:t>
            </w:r>
          </w:p>
        </w:tc>
        <w:tc>
          <w:tcPr>
            <w:tcW w:w="1420"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p>
        </w:tc>
        <w:tc>
          <w:tcPr>
            <w:tcW w:w="1241"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sz w:val="20"/>
                <w:szCs w:val="20"/>
                <w:lang w:eastAsia="es-EC"/>
              </w:rPr>
            </w:pPr>
          </w:p>
        </w:tc>
        <w:tc>
          <w:tcPr>
            <w:tcW w:w="113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sz w:val="20"/>
                <w:szCs w:val="20"/>
                <w:lang w:eastAsia="es-EC"/>
              </w:rPr>
            </w:pPr>
          </w:p>
        </w:tc>
      </w:tr>
      <w:tr w:rsidR="002B0C27" w:rsidRPr="00686018" w:rsidTr="007D362B">
        <w:trPr>
          <w:trHeight w:val="268"/>
          <w:jc w:val="center"/>
        </w:trPr>
        <w:tc>
          <w:tcPr>
            <w:tcW w:w="7881" w:type="dxa"/>
            <w:gridSpan w:val="6"/>
            <w:tcBorders>
              <w:top w:val="single" w:sz="4" w:space="0" w:color="auto"/>
              <w:left w:val="nil"/>
              <w:bottom w:val="nil"/>
              <w:right w:val="nil"/>
            </w:tcBorders>
            <w:shd w:val="clear" w:color="auto" w:fill="auto"/>
            <w:noWrap/>
            <w:vAlign w:val="center"/>
            <w:hideMark/>
          </w:tcPr>
          <w:p w:rsidR="002B0C27" w:rsidRPr="00686018" w:rsidRDefault="00E81EFA" w:rsidP="007D362B">
            <w:pPr>
              <w:spacing w:after="0" w:line="240" w:lineRule="auto"/>
              <w:rPr>
                <w:rFonts w:ascii="Times New Roman" w:eastAsia="Times New Roman" w:hAnsi="Times New Roman" w:cs="Times New Roman"/>
                <w:bCs/>
                <w:color w:val="004D72"/>
                <w:sz w:val="18"/>
                <w:szCs w:val="18"/>
                <w:lang w:eastAsia="es-EC"/>
              </w:rPr>
            </w:pPr>
            <w:r w:rsidRPr="00686018">
              <w:rPr>
                <w:rFonts w:ascii="Times New Roman" w:eastAsia="Times New Roman" w:hAnsi="Times New Roman" w:cs="Times New Roman"/>
                <w:bCs/>
                <w:color w:val="004D72"/>
                <w:sz w:val="18"/>
                <w:szCs w:val="18"/>
                <w:lang w:eastAsia="es-EC"/>
              </w:rPr>
              <w:t xml:space="preserve">Análisis de Varianza </w:t>
            </w:r>
            <w:r w:rsidR="00DD14D0">
              <w:rPr>
                <w:rFonts w:ascii="Times New Roman" w:eastAsia="Times New Roman" w:hAnsi="Times New Roman" w:cs="Times New Roman"/>
                <w:bCs/>
                <w:color w:val="004D72"/>
                <w:sz w:val="18"/>
                <w:szCs w:val="18"/>
                <w:lang w:eastAsia="es-EC"/>
              </w:rPr>
              <w:t>mL</w:t>
            </w:r>
            <w:r w:rsidR="002B0C27" w:rsidRPr="00686018">
              <w:rPr>
                <w:rFonts w:ascii="Times New Roman" w:eastAsia="Times New Roman" w:hAnsi="Times New Roman" w:cs="Times New Roman"/>
                <w:bCs/>
                <w:color w:val="004D72"/>
                <w:sz w:val="18"/>
                <w:szCs w:val="18"/>
                <w:lang w:eastAsia="es-EC"/>
              </w:rPr>
              <w:t xml:space="preserve"> CH4/g-SV</w:t>
            </w:r>
          </w:p>
        </w:tc>
      </w:tr>
      <w:tr w:rsidR="000268E7" w:rsidRPr="00686018" w:rsidTr="007D362B">
        <w:trPr>
          <w:trHeight w:val="268"/>
          <w:jc w:val="center"/>
        </w:trPr>
        <w:tc>
          <w:tcPr>
            <w:tcW w:w="177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Fuente</w:t>
            </w:r>
          </w:p>
        </w:tc>
        <w:tc>
          <w:tcPr>
            <w:tcW w:w="1064"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GL</w:t>
            </w:r>
          </w:p>
        </w:tc>
        <w:tc>
          <w:tcPr>
            <w:tcW w:w="1242"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SC </w:t>
            </w:r>
            <w:r w:rsidR="000268E7" w:rsidRPr="00686018">
              <w:rPr>
                <w:rFonts w:ascii="Times New Roman" w:eastAsia="Times New Roman" w:hAnsi="Times New Roman" w:cs="Times New Roman"/>
                <w:b/>
                <w:bCs/>
                <w:color w:val="000000"/>
                <w:sz w:val="18"/>
                <w:szCs w:val="18"/>
                <w:lang w:eastAsia="es-EC"/>
              </w:rPr>
              <w:t>Ajustado</w:t>
            </w:r>
          </w:p>
        </w:tc>
        <w:tc>
          <w:tcPr>
            <w:tcW w:w="1420"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MC </w:t>
            </w:r>
            <w:r w:rsidR="000268E7" w:rsidRPr="00686018">
              <w:rPr>
                <w:rFonts w:ascii="Times New Roman" w:eastAsia="Times New Roman" w:hAnsi="Times New Roman" w:cs="Times New Roman"/>
                <w:b/>
                <w:bCs/>
                <w:color w:val="000000"/>
                <w:sz w:val="18"/>
                <w:szCs w:val="18"/>
                <w:lang w:eastAsia="es-EC"/>
              </w:rPr>
              <w:t>Ajustado</w:t>
            </w:r>
          </w:p>
        </w:tc>
        <w:tc>
          <w:tcPr>
            <w:tcW w:w="1241"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F</w:t>
            </w:r>
          </w:p>
        </w:tc>
        <w:tc>
          <w:tcPr>
            <w:tcW w:w="113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p</w:t>
            </w:r>
          </w:p>
        </w:tc>
      </w:tr>
      <w:tr w:rsidR="000268E7" w:rsidRPr="00686018" w:rsidTr="007D362B">
        <w:trPr>
          <w:trHeight w:val="268"/>
          <w:jc w:val="center"/>
        </w:trPr>
        <w:tc>
          <w:tcPr>
            <w:tcW w:w="177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1064"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1242"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4920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w:t>
            </w:r>
          </w:p>
        </w:tc>
        <w:tc>
          <w:tcPr>
            <w:tcW w:w="1420"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19</w:t>
            </w:r>
          </w:p>
        </w:tc>
        <w:tc>
          <w:tcPr>
            <w:tcW w:w="1241"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72</w:t>
            </w:r>
          </w:p>
        </w:tc>
        <w:tc>
          <w:tcPr>
            <w:tcW w:w="113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r>
      <w:tr w:rsidR="000268E7" w:rsidRPr="00686018" w:rsidTr="007D362B">
        <w:trPr>
          <w:trHeight w:val="268"/>
          <w:jc w:val="center"/>
        </w:trPr>
        <w:tc>
          <w:tcPr>
            <w:tcW w:w="177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Error</w:t>
            </w:r>
          </w:p>
        </w:tc>
        <w:tc>
          <w:tcPr>
            <w:tcW w:w="1064"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1242"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176</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w:t>
            </w:r>
          </w:p>
        </w:tc>
        <w:tc>
          <w:tcPr>
            <w:tcW w:w="1420"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64</w:t>
            </w:r>
          </w:p>
        </w:tc>
        <w:tc>
          <w:tcPr>
            <w:tcW w:w="1241"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p>
        </w:tc>
        <w:tc>
          <w:tcPr>
            <w:tcW w:w="113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sz w:val="20"/>
                <w:szCs w:val="20"/>
                <w:lang w:eastAsia="es-EC"/>
              </w:rPr>
            </w:pPr>
          </w:p>
        </w:tc>
      </w:tr>
      <w:tr w:rsidR="000268E7" w:rsidRPr="00686018" w:rsidTr="007D362B">
        <w:trPr>
          <w:trHeight w:val="268"/>
          <w:jc w:val="center"/>
        </w:trPr>
        <w:tc>
          <w:tcPr>
            <w:tcW w:w="177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Total</w:t>
            </w:r>
          </w:p>
        </w:tc>
        <w:tc>
          <w:tcPr>
            <w:tcW w:w="1064"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1242"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5097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w:t>
            </w:r>
          </w:p>
        </w:tc>
        <w:tc>
          <w:tcPr>
            <w:tcW w:w="1420"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p>
        </w:tc>
        <w:tc>
          <w:tcPr>
            <w:tcW w:w="1241"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sz w:val="20"/>
                <w:szCs w:val="20"/>
                <w:lang w:eastAsia="es-EC"/>
              </w:rPr>
            </w:pPr>
          </w:p>
        </w:tc>
        <w:tc>
          <w:tcPr>
            <w:tcW w:w="113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sz w:val="20"/>
                <w:szCs w:val="20"/>
                <w:lang w:eastAsia="es-EC"/>
              </w:rPr>
            </w:pPr>
          </w:p>
        </w:tc>
      </w:tr>
      <w:tr w:rsidR="002B0C27" w:rsidRPr="00686018" w:rsidTr="007D362B">
        <w:trPr>
          <w:trHeight w:val="268"/>
          <w:jc w:val="center"/>
        </w:trPr>
        <w:tc>
          <w:tcPr>
            <w:tcW w:w="7881" w:type="dxa"/>
            <w:gridSpan w:val="6"/>
            <w:tcBorders>
              <w:top w:val="single" w:sz="4" w:space="0" w:color="auto"/>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Cs/>
                <w:color w:val="004D72"/>
                <w:sz w:val="18"/>
                <w:szCs w:val="18"/>
                <w:lang w:eastAsia="es-EC"/>
              </w:rPr>
            </w:pPr>
            <w:r w:rsidRPr="00686018">
              <w:rPr>
                <w:rFonts w:ascii="Times New Roman" w:eastAsia="Times New Roman" w:hAnsi="Times New Roman" w:cs="Times New Roman"/>
                <w:bCs/>
                <w:color w:val="004D72"/>
                <w:sz w:val="18"/>
                <w:szCs w:val="18"/>
                <w:lang w:eastAsia="es-EC"/>
              </w:rPr>
              <w:t>Análisis de Varianza % CH4</w:t>
            </w:r>
          </w:p>
        </w:tc>
      </w:tr>
      <w:tr w:rsidR="000268E7" w:rsidRPr="00686018" w:rsidTr="007D362B">
        <w:trPr>
          <w:trHeight w:val="268"/>
          <w:jc w:val="center"/>
        </w:trPr>
        <w:tc>
          <w:tcPr>
            <w:tcW w:w="177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Fuente</w:t>
            </w:r>
          </w:p>
        </w:tc>
        <w:tc>
          <w:tcPr>
            <w:tcW w:w="1064"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GL</w:t>
            </w:r>
          </w:p>
        </w:tc>
        <w:tc>
          <w:tcPr>
            <w:tcW w:w="1242"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SC </w:t>
            </w:r>
            <w:r w:rsidR="000268E7" w:rsidRPr="00686018">
              <w:rPr>
                <w:rFonts w:ascii="Times New Roman" w:eastAsia="Times New Roman" w:hAnsi="Times New Roman" w:cs="Times New Roman"/>
                <w:b/>
                <w:bCs/>
                <w:color w:val="000000"/>
                <w:sz w:val="18"/>
                <w:szCs w:val="18"/>
                <w:lang w:eastAsia="es-EC"/>
              </w:rPr>
              <w:t>Ajustado</w:t>
            </w:r>
          </w:p>
        </w:tc>
        <w:tc>
          <w:tcPr>
            <w:tcW w:w="1420"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MC </w:t>
            </w:r>
            <w:r w:rsidR="000268E7" w:rsidRPr="00686018">
              <w:rPr>
                <w:rFonts w:ascii="Times New Roman" w:eastAsia="Times New Roman" w:hAnsi="Times New Roman" w:cs="Times New Roman"/>
                <w:b/>
                <w:bCs/>
                <w:color w:val="000000"/>
                <w:sz w:val="18"/>
                <w:szCs w:val="18"/>
                <w:lang w:eastAsia="es-EC"/>
              </w:rPr>
              <w:t>Ajustado</w:t>
            </w:r>
          </w:p>
        </w:tc>
        <w:tc>
          <w:tcPr>
            <w:tcW w:w="1241"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F</w:t>
            </w:r>
          </w:p>
        </w:tc>
        <w:tc>
          <w:tcPr>
            <w:tcW w:w="113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p</w:t>
            </w:r>
          </w:p>
        </w:tc>
      </w:tr>
      <w:tr w:rsidR="000268E7" w:rsidRPr="00686018" w:rsidTr="007D362B">
        <w:trPr>
          <w:trHeight w:val="351"/>
          <w:jc w:val="center"/>
        </w:trPr>
        <w:tc>
          <w:tcPr>
            <w:tcW w:w="177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1064"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1242"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08</w:t>
            </w:r>
          </w:p>
        </w:tc>
        <w:tc>
          <w:tcPr>
            <w:tcW w:w="1420"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02</w:t>
            </w:r>
          </w:p>
        </w:tc>
        <w:tc>
          <w:tcPr>
            <w:tcW w:w="1241"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56</w:t>
            </w:r>
          </w:p>
        </w:tc>
        <w:tc>
          <w:tcPr>
            <w:tcW w:w="113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r>
      <w:tr w:rsidR="000268E7" w:rsidRPr="00686018" w:rsidTr="007D362B">
        <w:trPr>
          <w:trHeight w:val="268"/>
          <w:jc w:val="center"/>
        </w:trPr>
        <w:tc>
          <w:tcPr>
            <w:tcW w:w="177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Error</w:t>
            </w:r>
          </w:p>
        </w:tc>
        <w:tc>
          <w:tcPr>
            <w:tcW w:w="1064"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1242"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202</w:t>
            </w:r>
          </w:p>
        </w:tc>
        <w:tc>
          <w:tcPr>
            <w:tcW w:w="1420"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8202</w:t>
            </w:r>
          </w:p>
        </w:tc>
        <w:tc>
          <w:tcPr>
            <w:tcW w:w="1241"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p>
        </w:tc>
        <w:tc>
          <w:tcPr>
            <w:tcW w:w="113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sz w:val="20"/>
                <w:szCs w:val="20"/>
                <w:lang w:eastAsia="es-EC"/>
              </w:rPr>
            </w:pPr>
          </w:p>
        </w:tc>
      </w:tr>
      <w:tr w:rsidR="000268E7" w:rsidRPr="00686018" w:rsidTr="007D362B">
        <w:trPr>
          <w:trHeight w:val="268"/>
          <w:jc w:val="center"/>
        </w:trPr>
        <w:tc>
          <w:tcPr>
            <w:tcW w:w="177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Total</w:t>
            </w:r>
          </w:p>
        </w:tc>
        <w:tc>
          <w:tcPr>
            <w:tcW w:w="1064"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1242"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328</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282</w:t>
            </w:r>
          </w:p>
        </w:tc>
        <w:tc>
          <w:tcPr>
            <w:tcW w:w="1420"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p>
        </w:tc>
        <w:tc>
          <w:tcPr>
            <w:tcW w:w="1241"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p>
        </w:tc>
        <w:tc>
          <w:tcPr>
            <w:tcW w:w="113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rPr>
                <w:rFonts w:ascii="Times New Roman" w:eastAsia="Times New Roman" w:hAnsi="Times New Roman" w:cs="Times New Roman"/>
                <w:color w:val="000000"/>
                <w:sz w:val="18"/>
                <w:szCs w:val="18"/>
                <w:lang w:eastAsia="es-EC"/>
              </w:rPr>
            </w:pPr>
          </w:p>
        </w:tc>
      </w:tr>
    </w:tbl>
    <w:p w:rsidR="009E23A5" w:rsidRPr="00686018" w:rsidRDefault="004531C6"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CA5F9B" w:rsidRPr="00686018" w:rsidRDefault="009E23A5" w:rsidP="00A31608">
      <w:pPr>
        <w:spacing w:before="360" w:after="360"/>
        <w:jc w:val="both"/>
        <w:rPr>
          <w:rFonts w:ascii="Times New Roman" w:hAnsi="Times New Roman" w:cs="Times New Roman"/>
          <w:sz w:val="24"/>
        </w:rPr>
      </w:pPr>
      <w:r w:rsidRPr="00686018">
        <w:rPr>
          <w:rFonts w:ascii="Times New Roman" w:hAnsi="Times New Roman" w:cs="Times New Roman"/>
          <w:sz w:val="24"/>
        </w:rPr>
        <w:t>Puesto que</w:t>
      </w:r>
      <w:r w:rsidR="001C4FD8" w:rsidRPr="00686018">
        <w:rPr>
          <w:rFonts w:ascii="Times New Roman" w:hAnsi="Times New Roman" w:cs="Times New Roman"/>
          <w:sz w:val="24"/>
        </w:rPr>
        <w:t xml:space="preserve"> los</w:t>
      </w:r>
      <w:r w:rsidRPr="00686018">
        <w:rPr>
          <w:rFonts w:ascii="Times New Roman" w:hAnsi="Times New Roman" w:cs="Times New Roman"/>
          <w:sz w:val="24"/>
        </w:rPr>
        <w:t xml:space="preserve"> valor</w:t>
      </w:r>
      <w:r w:rsidR="001C4FD8" w:rsidRPr="00686018">
        <w:rPr>
          <w:rFonts w:ascii="Times New Roman" w:hAnsi="Times New Roman" w:cs="Times New Roman"/>
          <w:sz w:val="24"/>
        </w:rPr>
        <w:t>es</w:t>
      </w:r>
      <w:r w:rsidRPr="00686018">
        <w:rPr>
          <w:rFonts w:ascii="Times New Roman" w:hAnsi="Times New Roman" w:cs="Times New Roman"/>
          <w:sz w:val="24"/>
        </w:rPr>
        <w:t xml:space="preserve">-P de la prueba-F </w:t>
      </w:r>
      <w:r w:rsidR="001C4FD8" w:rsidRPr="00686018">
        <w:rPr>
          <w:rFonts w:ascii="Times New Roman" w:hAnsi="Times New Roman" w:cs="Times New Roman"/>
          <w:sz w:val="24"/>
        </w:rPr>
        <w:t>fueron</w:t>
      </w:r>
      <w:r w:rsidRPr="00686018">
        <w:rPr>
          <w:rFonts w:ascii="Times New Roman" w:hAnsi="Times New Roman" w:cs="Times New Roman"/>
          <w:sz w:val="24"/>
        </w:rPr>
        <w:t xml:space="preserve"> menor</w:t>
      </w:r>
      <w:r w:rsidR="001C4FD8" w:rsidRPr="00686018">
        <w:rPr>
          <w:rFonts w:ascii="Times New Roman" w:hAnsi="Times New Roman" w:cs="Times New Roman"/>
          <w:sz w:val="24"/>
        </w:rPr>
        <w:t>es a</w:t>
      </w:r>
      <w:r w:rsidR="00E81EFA" w:rsidRPr="00686018">
        <w:rPr>
          <w:rFonts w:ascii="Times New Roman" w:hAnsi="Times New Roman" w:cs="Times New Roman"/>
          <w:sz w:val="24"/>
        </w:rPr>
        <w:t xml:space="preserve"> 0.</w:t>
      </w:r>
      <w:r w:rsidRPr="00686018">
        <w:rPr>
          <w:rFonts w:ascii="Times New Roman" w:hAnsi="Times New Roman" w:cs="Times New Roman"/>
          <w:sz w:val="24"/>
        </w:rPr>
        <w:t>05, existe una diferencia estadísticamente si</w:t>
      </w:r>
      <w:r w:rsidR="00E81EFA" w:rsidRPr="00686018">
        <w:rPr>
          <w:rFonts w:ascii="Times New Roman" w:hAnsi="Times New Roman" w:cs="Times New Roman"/>
          <w:sz w:val="24"/>
        </w:rPr>
        <w:t xml:space="preserve">gnificativa entre la media de </w:t>
      </w:r>
      <w:r w:rsidR="00DD14D0">
        <w:rPr>
          <w:rFonts w:ascii="Times New Roman" w:hAnsi="Times New Roman" w:cs="Times New Roman"/>
          <w:sz w:val="24"/>
        </w:rPr>
        <w:t>mL</w:t>
      </w:r>
      <w:r w:rsidR="004531C6" w:rsidRPr="00686018">
        <w:rPr>
          <w:rFonts w:ascii="Times New Roman" w:hAnsi="Times New Roman" w:cs="Times New Roman"/>
          <w:sz w:val="24"/>
        </w:rPr>
        <w:t>biogás</w:t>
      </w:r>
      <w:r w:rsidRPr="00686018">
        <w:rPr>
          <w:rFonts w:ascii="Times New Roman" w:hAnsi="Times New Roman" w:cs="Times New Roman"/>
          <w:sz w:val="24"/>
        </w:rPr>
        <w:t>/g-SV</w:t>
      </w:r>
      <w:r w:rsidR="00E81EFA" w:rsidRPr="00686018">
        <w:rPr>
          <w:rFonts w:ascii="Times New Roman" w:hAnsi="Times New Roman" w:cs="Times New Roman"/>
          <w:sz w:val="24"/>
        </w:rPr>
        <w:t xml:space="preserve">, </w:t>
      </w:r>
      <w:r w:rsidR="00DD14D0">
        <w:rPr>
          <w:rFonts w:ascii="Times New Roman" w:hAnsi="Times New Roman" w:cs="Times New Roman"/>
          <w:sz w:val="24"/>
        </w:rPr>
        <w:t>mL</w:t>
      </w:r>
      <w:r w:rsidR="001C4FD8" w:rsidRPr="00686018">
        <w:rPr>
          <w:rFonts w:ascii="Times New Roman" w:hAnsi="Times New Roman" w:cs="Times New Roman"/>
          <w:sz w:val="24"/>
        </w:rPr>
        <w:t>CH</w:t>
      </w:r>
      <w:r w:rsidR="001C4FD8" w:rsidRPr="00686018">
        <w:rPr>
          <w:rFonts w:ascii="Times New Roman" w:hAnsi="Times New Roman" w:cs="Times New Roman"/>
          <w:sz w:val="24"/>
          <w:vertAlign w:val="subscript"/>
        </w:rPr>
        <w:t>4</w:t>
      </w:r>
      <w:r w:rsidR="001C4FD8" w:rsidRPr="00686018">
        <w:rPr>
          <w:rFonts w:ascii="Times New Roman" w:hAnsi="Times New Roman" w:cs="Times New Roman"/>
          <w:sz w:val="24"/>
        </w:rPr>
        <w:t>/g-SV y % CH</w:t>
      </w:r>
      <w:r w:rsidR="001C4FD8" w:rsidRPr="00686018">
        <w:rPr>
          <w:rFonts w:ascii="Times New Roman" w:hAnsi="Times New Roman" w:cs="Times New Roman"/>
          <w:sz w:val="24"/>
          <w:vertAlign w:val="subscript"/>
        </w:rPr>
        <w:t>4</w:t>
      </w:r>
      <w:r w:rsidRPr="00686018">
        <w:rPr>
          <w:rFonts w:ascii="Times New Roman" w:hAnsi="Times New Roman" w:cs="Times New Roman"/>
          <w:sz w:val="24"/>
        </w:rPr>
        <w:t xml:space="preserve"> </w:t>
      </w:r>
      <w:r w:rsidR="001C4FD8" w:rsidRPr="00686018">
        <w:rPr>
          <w:rFonts w:ascii="Times New Roman" w:hAnsi="Times New Roman" w:cs="Times New Roman"/>
          <w:sz w:val="24"/>
        </w:rPr>
        <w:t>entre un nivel de RE-TR y otro;</w:t>
      </w:r>
      <w:r w:rsidR="00E81EFA" w:rsidRPr="00686018">
        <w:rPr>
          <w:rFonts w:ascii="Times New Roman" w:hAnsi="Times New Roman" w:cs="Times New Roman"/>
          <w:sz w:val="24"/>
        </w:rPr>
        <w:t xml:space="preserve"> con un nivel del 95.</w:t>
      </w:r>
      <w:r w:rsidRPr="00686018">
        <w:rPr>
          <w:rFonts w:ascii="Times New Roman" w:hAnsi="Times New Roman" w:cs="Times New Roman"/>
          <w:sz w:val="24"/>
        </w:rPr>
        <w:t>0% de confianza</w:t>
      </w:r>
      <w:r w:rsidR="004531C6" w:rsidRPr="00686018">
        <w:rPr>
          <w:rFonts w:ascii="Times New Roman" w:hAnsi="Times New Roman" w:cs="Times New Roman"/>
          <w:sz w:val="24"/>
        </w:rPr>
        <w:t xml:space="preserve"> </w:t>
      </w:r>
      <w:r w:rsidR="00351E2A" w:rsidRPr="00686018">
        <w:rPr>
          <w:rFonts w:ascii="Times New Roman" w:hAnsi="Times New Roman" w:cs="Times New Roman"/>
          <w:sz w:val="24"/>
        </w:rPr>
        <w:t xml:space="preserve">se rechaza la hipótesis nula y se concluye que los tratamientos difieren respecto a la cantidad </w:t>
      </w:r>
      <w:r w:rsidRPr="00686018">
        <w:rPr>
          <w:rFonts w:ascii="Times New Roman" w:hAnsi="Times New Roman" w:cs="Times New Roman"/>
          <w:sz w:val="24"/>
        </w:rPr>
        <w:t>de biogás</w:t>
      </w:r>
      <w:r w:rsidR="001C4FD8" w:rsidRPr="00686018">
        <w:rPr>
          <w:rFonts w:ascii="Times New Roman" w:hAnsi="Times New Roman" w:cs="Times New Roman"/>
          <w:sz w:val="24"/>
        </w:rPr>
        <w:t xml:space="preserve"> y CH</w:t>
      </w:r>
      <w:r w:rsidR="001C4FD8" w:rsidRPr="00686018">
        <w:rPr>
          <w:rFonts w:ascii="Times New Roman" w:hAnsi="Times New Roman" w:cs="Times New Roman"/>
          <w:sz w:val="24"/>
          <w:vertAlign w:val="subscript"/>
        </w:rPr>
        <w:t>4</w:t>
      </w:r>
      <w:r w:rsidRPr="00686018">
        <w:rPr>
          <w:rFonts w:ascii="Times New Roman" w:hAnsi="Times New Roman" w:cs="Times New Roman"/>
          <w:sz w:val="24"/>
        </w:rPr>
        <w:t xml:space="preserve"> generado</w:t>
      </w:r>
      <w:r w:rsidR="001C4FD8" w:rsidRPr="00686018">
        <w:rPr>
          <w:rFonts w:ascii="Times New Roman" w:hAnsi="Times New Roman" w:cs="Times New Roman"/>
          <w:sz w:val="24"/>
        </w:rPr>
        <w:t>s</w:t>
      </w:r>
      <w:r w:rsidR="00351E2A" w:rsidRPr="00686018">
        <w:rPr>
          <w:rFonts w:ascii="Times New Roman" w:hAnsi="Times New Roman" w:cs="Times New Roman"/>
          <w:sz w:val="24"/>
        </w:rPr>
        <w:t xml:space="preserve"> a los 40 días de digestión. Es posible obtener respuestas específicas sobre el efecto de los distintos porcentajes de RE y TR respecto</w:t>
      </w:r>
      <w:r w:rsidR="001C4FD8" w:rsidRPr="00686018">
        <w:rPr>
          <w:rFonts w:ascii="Times New Roman" w:hAnsi="Times New Roman" w:cs="Times New Roman"/>
          <w:sz w:val="24"/>
        </w:rPr>
        <w:t xml:space="preserve"> a</w:t>
      </w:r>
      <w:r w:rsidR="00351E2A" w:rsidRPr="00686018">
        <w:rPr>
          <w:rFonts w:ascii="Times New Roman" w:hAnsi="Times New Roman" w:cs="Times New Roman"/>
          <w:sz w:val="24"/>
        </w:rPr>
        <w:t xml:space="preserve"> la cantidad de biogás</w:t>
      </w:r>
      <w:r w:rsidR="001C4FD8" w:rsidRPr="00686018">
        <w:rPr>
          <w:rFonts w:ascii="Times New Roman" w:hAnsi="Times New Roman" w:cs="Times New Roman"/>
          <w:sz w:val="24"/>
        </w:rPr>
        <w:t xml:space="preserve"> y CH</w:t>
      </w:r>
      <w:r w:rsidR="001C4FD8" w:rsidRPr="00686018">
        <w:rPr>
          <w:rFonts w:ascii="Times New Roman" w:hAnsi="Times New Roman" w:cs="Times New Roman"/>
          <w:sz w:val="24"/>
          <w:vertAlign w:val="subscript"/>
        </w:rPr>
        <w:t xml:space="preserve">4 </w:t>
      </w:r>
      <w:r w:rsidR="001C4FD8" w:rsidRPr="00686018">
        <w:rPr>
          <w:rFonts w:ascii="Times New Roman" w:hAnsi="Times New Roman" w:cs="Times New Roman"/>
          <w:sz w:val="24"/>
        </w:rPr>
        <w:t>acumulado</w:t>
      </w:r>
      <w:r w:rsidR="00351E2A" w:rsidRPr="00686018">
        <w:rPr>
          <w:rFonts w:ascii="Times New Roman" w:hAnsi="Times New Roman" w:cs="Times New Roman"/>
          <w:sz w:val="24"/>
        </w:rPr>
        <w:t xml:space="preserve">. </w:t>
      </w:r>
      <w:r w:rsidR="004531C6" w:rsidRPr="00686018">
        <w:rPr>
          <w:rFonts w:ascii="Times New Roman" w:hAnsi="Times New Roman" w:cs="Times New Roman"/>
          <w:sz w:val="24"/>
        </w:rPr>
        <w:t>Para determinar cuáles medias son significativamente diferentes de otras, se realizó la comparación de rangos Múltiples de Tukey HSD mostrada a continuación.</w:t>
      </w:r>
    </w:p>
    <w:p w:rsidR="004947CD" w:rsidRPr="00686018" w:rsidRDefault="00CA5F9B" w:rsidP="00A31608">
      <w:pPr>
        <w:pStyle w:val="Descripcin"/>
        <w:jc w:val="both"/>
        <w:rPr>
          <w:rFonts w:ascii="Times New Roman" w:hAnsi="Times New Roman" w:cs="Times New Roman"/>
          <w:i w:val="0"/>
          <w:color w:val="auto"/>
        </w:rPr>
      </w:pPr>
      <w:bookmarkStart w:id="280" w:name="_Toc9537923"/>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20</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w:t>
      </w:r>
      <w:r w:rsidR="002B0C27" w:rsidRPr="00686018">
        <w:rPr>
          <w:rFonts w:ascii="Times New Roman" w:hAnsi="Times New Roman" w:cs="Times New Roman"/>
          <w:i w:val="0"/>
          <w:color w:val="auto"/>
        </w:rPr>
        <w:t>Comparación de medias de</w:t>
      </w:r>
      <w:r w:rsidR="004947CD" w:rsidRPr="00686018">
        <w:rPr>
          <w:rFonts w:ascii="Times New Roman" w:hAnsi="Times New Roman" w:cs="Times New Roman"/>
          <w:i w:val="0"/>
          <w:color w:val="auto"/>
        </w:rPr>
        <w:t xml:space="preserve"> Tukey para diferencias de las medias</w:t>
      </w:r>
      <w:r w:rsidR="00AB621F" w:rsidRPr="00686018">
        <w:rPr>
          <w:rFonts w:ascii="Times New Roman" w:hAnsi="Times New Roman" w:cs="Times New Roman"/>
          <w:i w:val="0"/>
          <w:color w:val="auto"/>
        </w:rPr>
        <w:t xml:space="preserve"> de RE y TR a una razón I:S – 2:1</w:t>
      </w:r>
      <w:bookmarkEnd w:id="280"/>
    </w:p>
    <w:tbl>
      <w:tblPr>
        <w:tblW w:w="7923" w:type="dxa"/>
        <w:jc w:val="center"/>
        <w:tblCellMar>
          <w:left w:w="70" w:type="dxa"/>
          <w:right w:w="70" w:type="dxa"/>
        </w:tblCellMar>
        <w:tblLook w:val="04A0" w:firstRow="1" w:lastRow="0" w:firstColumn="1" w:lastColumn="0" w:noHBand="0" w:noVBand="1"/>
      </w:tblPr>
      <w:tblGrid>
        <w:gridCol w:w="1485"/>
        <w:gridCol w:w="2377"/>
        <w:gridCol w:w="2277"/>
        <w:gridCol w:w="593"/>
        <w:gridCol w:w="593"/>
        <w:gridCol w:w="598"/>
      </w:tblGrid>
      <w:tr w:rsidR="002B0C27" w:rsidRPr="00686018" w:rsidTr="007D362B">
        <w:trPr>
          <w:trHeight w:val="265"/>
          <w:jc w:val="center"/>
        </w:trPr>
        <w:tc>
          <w:tcPr>
            <w:tcW w:w="1485" w:type="dxa"/>
            <w:tcBorders>
              <w:top w:val="single" w:sz="4" w:space="0" w:color="auto"/>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RE-TR</w:t>
            </w:r>
          </w:p>
        </w:tc>
        <w:tc>
          <w:tcPr>
            <w:tcW w:w="2377" w:type="dxa"/>
            <w:tcBorders>
              <w:top w:val="single" w:sz="4" w:space="0" w:color="auto"/>
              <w:left w:val="nil"/>
              <w:bottom w:val="single" w:sz="4" w:space="0" w:color="auto"/>
              <w:right w:val="nil"/>
            </w:tcBorders>
            <w:shd w:val="clear" w:color="auto" w:fill="auto"/>
            <w:noWrap/>
            <w:vAlign w:val="center"/>
            <w:hideMark/>
          </w:tcPr>
          <w:p w:rsidR="002B0C27" w:rsidRPr="00686018" w:rsidRDefault="00E81EFA"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 xml:space="preserve">Media </w:t>
            </w:r>
            <w:r w:rsidR="00DD14D0">
              <w:rPr>
                <w:rFonts w:ascii="Times New Roman" w:eastAsia="Times New Roman" w:hAnsi="Times New Roman" w:cs="Times New Roman"/>
                <w:b/>
                <w:bCs/>
                <w:color w:val="000000" w:themeColor="text1"/>
                <w:sz w:val="18"/>
                <w:szCs w:val="18"/>
                <w:lang w:eastAsia="es-EC"/>
              </w:rPr>
              <w:t>mL</w:t>
            </w:r>
            <w:r w:rsidR="002B0C27" w:rsidRPr="00686018">
              <w:rPr>
                <w:rFonts w:ascii="Times New Roman" w:eastAsia="Times New Roman" w:hAnsi="Times New Roman" w:cs="Times New Roman"/>
                <w:b/>
                <w:bCs/>
                <w:color w:val="000000" w:themeColor="text1"/>
                <w:sz w:val="18"/>
                <w:szCs w:val="18"/>
                <w:lang w:eastAsia="es-EC"/>
              </w:rPr>
              <w:t xml:space="preserve"> Biogás/g-SV</w:t>
            </w:r>
          </w:p>
        </w:tc>
        <w:tc>
          <w:tcPr>
            <w:tcW w:w="4061" w:type="dxa"/>
            <w:gridSpan w:val="4"/>
            <w:tcBorders>
              <w:top w:val="single" w:sz="4" w:space="0" w:color="auto"/>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Agrupación</w:t>
            </w: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2:2</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493</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250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A</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1:3</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479</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930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A</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0:4</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477</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750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A</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3:1</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421</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730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B</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4:0</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354</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530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C</w:t>
            </w: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r>
      <w:tr w:rsidR="002B0C27" w:rsidRPr="00686018" w:rsidTr="007D362B">
        <w:trPr>
          <w:trHeight w:val="265"/>
          <w:jc w:val="center"/>
        </w:trPr>
        <w:tc>
          <w:tcPr>
            <w:tcW w:w="1485" w:type="dxa"/>
            <w:tcBorders>
              <w:top w:val="single" w:sz="4" w:space="0" w:color="auto"/>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RE-TR</w:t>
            </w:r>
          </w:p>
        </w:tc>
        <w:tc>
          <w:tcPr>
            <w:tcW w:w="2377" w:type="dxa"/>
            <w:tcBorders>
              <w:top w:val="single" w:sz="4" w:space="0" w:color="auto"/>
              <w:left w:val="nil"/>
              <w:bottom w:val="single" w:sz="4" w:space="0" w:color="auto"/>
              <w:right w:val="nil"/>
            </w:tcBorders>
            <w:shd w:val="clear" w:color="auto" w:fill="auto"/>
            <w:noWrap/>
            <w:vAlign w:val="center"/>
            <w:hideMark/>
          </w:tcPr>
          <w:p w:rsidR="002B0C27" w:rsidRPr="00686018" w:rsidRDefault="00E81EFA"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 xml:space="preserve">Media </w:t>
            </w:r>
            <w:r w:rsidR="00DD14D0">
              <w:rPr>
                <w:rFonts w:ascii="Times New Roman" w:eastAsia="Times New Roman" w:hAnsi="Times New Roman" w:cs="Times New Roman"/>
                <w:b/>
                <w:bCs/>
                <w:color w:val="000000" w:themeColor="text1"/>
                <w:sz w:val="18"/>
                <w:szCs w:val="18"/>
                <w:lang w:eastAsia="es-EC"/>
              </w:rPr>
              <w:t>mL</w:t>
            </w:r>
            <w:r w:rsidR="002B0C27" w:rsidRPr="00686018">
              <w:rPr>
                <w:rFonts w:ascii="Times New Roman" w:eastAsia="Times New Roman" w:hAnsi="Times New Roman" w:cs="Times New Roman"/>
                <w:b/>
                <w:bCs/>
                <w:color w:val="000000" w:themeColor="text1"/>
                <w:sz w:val="18"/>
                <w:szCs w:val="18"/>
                <w:lang w:eastAsia="es-EC"/>
              </w:rPr>
              <w:t xml:space="preserve"> CH4/g-SV</w:t>
            </w:r>
          </w:p>
        </w:tc>
        <w:tc>
          <w:tcPr>
            <w:tcW w:w="4061" w:type="dxa"/>
            <w:gridSpan w:val="4"/>
            <w:tcBorders>
              <w:top w:val="single" w:sz="4" w:space="0" w:color="auto"/>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Agrupación</w:t>
            </w: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2:2</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306</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200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A</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1:3</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288</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380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B</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3:1</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277</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200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B</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C</w:t>
            </w: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0:4</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274</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920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C</w:t>
            </w: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4:0</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250</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830</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D</w:t>
            </w:r>
          </w:p>
        </w:tc>
      </w:tr>
      <w:tr w:rsidR="002B0C27" w:rsidRPr="00686018" w:rsidTr="007D362B">
        <w:trPr>
          <w:trHeight w:val="349"/>
          <w:jc w:val="center"/>
        </w:trPr>
        <w:tc>
          <w:tcPr>
            <w:tcW w:w="1485" w:type="dxa"/>
            <w:tcBorders>
              <w:top w:val="single" w:sz="4" w:space="0" w:color="auto"/>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RE-TR</w:t>
            </w:r>
          </w:p>
        </w:tc>
        <w:tc>
          <w:tcPr>
            <w:tcW w:w="2377" w:type="dxa"/>
            <w:tcBorders>
              <w:top w:val="single" w:sz="4" w:space="0" w:color="auto"/>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Media % CH4</w:t>
            </w:r>
          </w:p>
        </w:tc>
        <w:tc>
          <w:tcPr>
            <w:tcW w:w="4061" w:type="dxa"/>
            <w:gridSpan w:val="4"/>
            <w:tcBorders>
              <w:top w:val="single" w:sz="4" w:space="0" w:color="auto"/>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b/>
                <w:bCs/>
                <w:color w:val="000000" w:themeColor="text1"/>
                <w:sz w:val="18"/>
                <w:szCs w:val="18"/>
                <w:lang w:eastAsia="es-EC"/>
              </w:rPr>
            </w:pPr>
            <w:r w:rsidRPr="00686018">
              <w:rPr>
                <w:rFonts w:ascii="Times New Roman" w:eastAsia="Times New Roman" w:hAnsi="Times New Roman" w:cs="Times New Roman"/>
                <w:b/>
                <w:bCs/>
                <w:color w:val="000000" w:themeColor="text1"/>
                <w:sz w:val="18"/>
                <w:szCs w:val="18"/>
                <w:lang w:eastAsia="es-EC"/>
              </w:rPr>
              <w:t>Agrupación</w:t>
            </w: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4:0</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70</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77</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A</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lastRenderedPageBreak/>
              <w:t>RE:TR 3:1</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65</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74</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B</w:t>
            </w: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2:2</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62</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08</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C</w:t>
            </w: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r>
      <w:tr w:rsidR="002B0C27" w:rsidRPr="00686018" w:rsidTr="007D362B">
        <w:trPr>
          <w:trHeight w:val="265"/>
          <w:jc w:val="center"/>
        </w:trPr>
        <w:tc>
          <w:tcPr>
            <w:tcW w:w="1485"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1:3</w:t>
            </w:r>
          </w:p>
        </w:tc>
        <w:tc>
          <w:tcPr>
            <w:tcW w:w="23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60</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09</w:t>
            </w:r>
          </w:p>
        </w:tc>
        <w:tc>
          <w:tcPr>
            <w:tcW w:w="2277"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20"/>
                <w:szCs w:val="20"/>
                <w:lang w:eastAsia="es-EC"/>
              </w:rPr>
            </w:pPr>
          </w:p>
        </w:tc>
        <w:tc>
          <w:tcPr>
            <w:tcW w:w="593"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C</w:t>
            </w:r>
          </w:p>
        </w:tc>
        <w:tc>
          <w:tcPr>
            <w:tcW w:w="596" w:type="dxa"/>
            <w:tcBorders>
              <w:top w:val="nil"/>
              <w:left w:val="nil"/>
              <w:bottom w:val="nil"/>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r>
      <w:tr w:rsidR="002B0C27" w:rsidRPr="00686018" w:rsidTr="007D362B">
        <w:trPr>
          <w:trHeight w:val="265"/>
          <w:jc w:val="center"/>
        </w:trPr>
        <w:tc>
          <w:tcPr>
            <w:tcW w:w="1485"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RE:TR 0:4</w:t>
            </w:r>
          </w:p>
        </w:tc>
        <w:tc>
          <w:tcPr>
            <w:tcW w:w="2377"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57</w:t>
            </w:r>
            <w:r w:rsidR="00E81EFA" w:rsidRPr="00686018">
              <w:rPr>
                <w:rFonts w:ascii="Times New Roman" w:eastAsia="Times New Roman" w:hAnsi="Times New Roman" w:cs="Times New Roman"/>
                <w:color w:val="000000" w:themeColor="text1"/>
                <w:sz w:val="18"/>
                <w:szCs w:val="18"/>
                <w:lang w:eastAsia="es-EC"/>
              </w:rPr>
              <w:t>.</w:t>
            </w:r>
            <w:r w:rsidRPr="00686018">
              <w:rPr>
                <w:rFonts w:ascii="Times New Roman" w:eastAsia="Times New Roman" w:hAnsi="Times New Roman" w:cs="Times New Roman"/>
                <w:color w:val="000000" w:themeColor="text1"/>
                <w:sz w:val="18"/>
                <w:szCs w:val="18"/>
                <w:lang w:eastAsia="es-EC"/>
              </w:rPr>
              <w:t>54</w:t>
            </w:r>
          </w:p>
        </w:tc>
        <w:tc>
          <w:tcPr>
            <w:tcW w:w="2277"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3"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p>
        </w:tc>
        <w:tc>
          <w:tcPr>
            <w:tcW w:w="596" w:type="dxa"/>
            <w:tcBorders>
              <w:top w:val="nil"/>
              <w:left w:val="nil"/>
              <w:bottom w:val="single" w:sz="4" w:space="0" w:color="auto"/>
              <w:right w:val="nil"/>
            </w:tcBorders>
            <w:shd w:val="clear" w:color="auto" w:fill="auto"/>
            <w:noWrap/>
            <w:vAlign w:val="center"/>
            <w:hideMark/>
          </w:tcPr>
          <w:p w:rsidR="002B0C27" w:rsidRPr="00686018" w:rsidRDefault="002B0C27" w:rsidP="007D362B">
            <w:pPr>
              <w:spacing w:after="0" w:line="240" w:lineRule="auto"/>
              <w:jc w:val="center"/>
              <w:rPr>
                <w:rFonts w:ascii="Times New Roman" w:eastAsia="Times New Roman" w:hAnsi="Times New Roman" w:cs="Times New Roman"/>
                <w:color w:val="000000" w:themeColor="text1"/>
                <w:sz w:val="18"/>
                <w:szCs w:val="18"/>
                <w:lang w:eastAsia="es-EC"/>
              </w:rPr>
            </w:pPr>
            <w:r w:rsidRPr="00686018">
              <w:rPr>
                <w:rFonts w:ascii="Times New Roman" w:eastAsia="Times New Roman" w:hAnsi="Times New Roman" w:cs="Times New Roman"/>
                <w:color w:val="000000" w:themeColor="text1"/>
                <w:sz w:val="18"/>
                <w:szCs w:val="18"/>
                <w:lang w:eastAsia="es-EC"/>
              </w:rPr>
              <w:t>D</w:t>
            </w:r>
          </w:p>
        </w:tc>
      </w:tr>
    </w:tbl>
    <w:p w:rsidR="00CA5F9B" w:rsidRPr="00686018" w:rsidRDefault="00CA5F9B" w:rsidP="00A31608">
      <w:pPr>
        <w:jc w:val="both"/>
        <w:rPr>
          <w:rFonts w:ascii="Times New Roman" w:hAnsi="Times New Roman" w:cs="Times New Roman"/>
          <w:sz w:val="18"/>
          <w:szCs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8332C9" w:rsidRPr="00686018" w:rsidRDefault="001C32EB" w:rsidP="00A31608">
      <w:pPr>
        <w:spacing w:before="360" w:after="360"/>
        <w:jc w:val="both"/>
        <w:rPr>
          <w:rFonts w:ascii="Times New Roman" w:hAnsi="Times New Roman" w:cs="Times New Roman"/>
          <w:sz w:val="24"/>
        </w:rPr>
      </w:pPr>
      <w:r w:rsidRPr="00686018">
        <w:rPr>
          <w:rFonts w:ascii="Times New Roman" w:hAnsi="Times New Roman" w:cs="Times New Roman"/>
          <w:sz w:val="24"/>
        </w:rPr>
        <w:t>La tabl</w:t>
      </w:r>
      <w:r w:rsidR="00312966" w:rsidRPr="00686018">
        <w:rPr>
          <w:rFonts w:ascii="Times New Roman" w:hAnsi="Times New Roman" w:cs="Times New Roman"/>
          <w:sz w:val="24"/>
        </w:rPr>
        <w:t>a 20</w:t>
      </w:r>
      <w:r w:rsidR="00330B6D" w:rsidRPr="00686018">
        <w:rPr>
          <w:rFonts w:ascii="Times New Roman" w:hAnsi="Times New Roman" w:cs="Times New Roman"/>
          <w:sz w:val="24"/>
        </w:rPr>
        <w:t xml:space="preserve"> indica que la codigestión de RE y TR es más efectiva que la digestión de cada sustrato solo, la diferencia más alta</w:t>
      </w:r>
      <w:r w:rsidR="00A331EC" w:rsidRPr="00686018">
        <w:rPr>
          <w:rFonts w:ascii="Times New Roman" w:hAnsi="Times New Roman" w:cs="Times New Roman"/>
          <w:sz w:val="24"/>
        </w:rPr>
        <w:t xml:space="preserve"> en promedio</w:t>
      </w:r>
      <w:r w:rsidR="00330B6D" w:rsidRPr="00686018">
        <w:rPr>
          <w:rFonts w:ascii="Times New Roman" w:hAnsi="Times New Roman" w:cs="Times New Roman"/>
          <w:sz w:val="24"/>
        </w:rPr>
        <w:t xml:space="preserve"> con un</w:t>
      </w:r>
      <w:r w:rsidR="00E81EFA" w:rsidRPr="00686018">
        <w:rPr>
          <w:rFonts w:ascii="Times New Roman" w:hAnsi="Times New Roman" w:cs="Times New Roman"/>
          <w:sz w:val="24"/>
        </w:rPr>
        <w:t xml:space="preserve"> 95% de confianza es de 138.72</w:t>
      </w:r>
      <w:r w:rsidR="00DD14D0">
        <w:rPr>
          <w:rFonts w:ascii="Times New Roman" w:hAnsi="Times New Roman" w:cs="Times New Roman"/>
          <w:sz w:val="24"/>
        </w:rPr>
        <w:t>mL</w:t>
      </w:r>
      <w:r w:rsidR="00330B6D" w:rsidRPr="00686018">
        <w:rPr>
          <w:rFonts w:ascii="Times New Roman" w:hAnsi="Times New Roman" w:cs="Times New Roman"/>
          <w:sz w:val="24"/>
        </w:rPr>
        <w:t xml:space="preserve"> Biogás/g-SV a favor de la codigestión </w:t>
      </w:r>
      <w:r w:rsidR="00257570" w:rsidRPr="00686018">
        <w:rPr>
          <w:rFonts w:ascii="Times New Roman" w:hAnsi="Times New Roman" w:cs="Times New Roman"/>
          <w:sz w:val="24"/>
        </w:rPr>
        <w:t>(RE:TR 2:2)</w:t>
      </w:r>
      <w:r w:rsidR="008332C9" w:rsidRPr="00686018">
        <w:rPr>
          <w:rFonts w:ascii="Times New Roman" w:hAnsi="Times New Roman" w:cs="Times New Roman"/>
          <w:sz w:val="24"/>
        </w:rPr>
        <w:t xml:space="preserve"> con respecto al rendimiento de biogás acumulado. Aunque la cantidad de biogás fue </w:t>
      </w:r>
      <w:r w:rsidR="00C44C20">
        <w:rPr>
          <w:rFonts w:ascii="Times New Roman" w:hAnsi="Times New Roman" w:cs="Times New Roman"/>
          <w:sz w:val="24"/>
        </w:rPr>
        <w:t>elevada (RE:TR - 2:2, 493.250</w:t>
      </w:r>
      <w:r w:rsidR="00DD14D0">
        <w:rPr>
          <w:rFonts w:ascii="Times New Roman" w:hAnsi="Times New Roman" w:cs="Times New Roman"/>
          <w:sz w:val="24"/>
        </w:rPr>
        <w:t>mL</w:t>
      </w:r>
      <w:r w:rsidR="008332C9" w:rsidRPr="00686018">
        <w:rPr>
          <w:rFonts w:ascii="Times New Roman" w:hAnsi="Times New Roman" w:cs="Times New Roman"/>
          <w:sz w:val="24"/>
        </w:rPr>
        <w:t xml:space="preserve"> Biogás/g-SV), la concentración de metano en codigestión fue inferior a la monodigestión de RE (70% CH</w:t>
      </w:r>
      <w:r w:rsidR="008332C9" w:rsidRPr="00686018">
        <w:rPr>
          <w:rFonts w:ascii="Times New Roman" w:hAnsi="Times New Roman" w:cs="Times New Roman"/>
          <w:sz w:val="24"/>
          <w:vertAlign w:val="subscript"/>
        </w:rPr>
        <w:t>4</w:t>
      </w:r>
      <w:r w:rsidR="008332C9" w:rsidRPr="00686018">
        <w:rPr>
          <w:rFonts w:ascii="Times New Roman" w:hAnsi="Times New Roman" w:cs="Times New Roman"/>
          <w:sz w:val="24"/>
        </w:rPr>
        <w:t>). Una cantidad de biogás elevada no necesariamente significa una concentración de CH</w:t>
      </w:r>
      <w:r w:rsidR="008332C9" w:rsidRPr="00686018">
        <w:rPr>
          <w:rFonts w:ascii="Times New Roman" w:hAnsi="Times New Roman" w:cs="Times New Roman"/>
          <w:sz w:val="24"/>
          <w:vertAlign w:val="subscript"/>
        </w:rPr>
        <w:t xml:space="preserve">4 </w:t>
      </w:r>
      <w:r w:rsidR="008332C9" w:rsidRPr="00686018">
        <w:rPr>
          <w:rFonts w:ascii="Times New Roman" w:hAnsi="Times New Roman" w:cs="Times New Roman"/>
          <w:sz w:val="24"/>
        </w:rPr>
        <w:t>alta; según la tabla un porcentaje superior al 50% de RE en el digestor favorece una concentración elevada de CH</w:t>
      </w:r>
      <w:r w:rsidR="008332C9" w:rsidRPr="00686018">
        <w:rPr>
          <w:rFonts w:ascii="Times New Roman" w:hAnsi="Times New Roman" w:cs="Times New Roman"/>
          <w:sz w:val="24"/>
          <w:vertAlign w:val="subscript"/>
        </w:rPr>
        <w:t xml:space="preserve">4 </w:t>
      </w:r>
      <w:r w:rsidR="008332C9" w:rsidRPr="00686018">
        <w:rPr>
          <w:rFonts w:ascii="Times New Roman" w:hAnsi="Times New Roman" w:cs="Times New Roman"/>
          <w:sz w:val="24"/>
        </w:rPr>
        <w:t>indicando una tendencia hacia la monodigestión</w:t>
      </w:r>
      <w:r w:rsidR="001C4FD8" w:rsidRPr="00686018">
        <w:rPr>
          <w:rFonts w:ascii="Times New Roman" w:hAnsi="Times New Roman" w:cs="Times New Roman"/>
          <w:sz w:val="24"/>
        </w:rPr>
        <w:t>,</w:t>
      </w:r>
      <w:r w:rsidR="008332C9" w:rsidRPr="00686018">
        <w:rPr>
          <w:rFonts w:ascii="Times New Roman" w:hAnsi="Times New Roman" w:cs="Times New Roman"/>
          <w:sz w:val="24"/>
        </w:rPr>
        <w:t xml:space="preserve"> si de generar </w:t>
      </w:r>
      <w:r w:rsidR="00423F3E" w:rsidRPr="00686018">
        <w:rPr>
          <w:rFonts w:ascii="Times New Roman" w:hAnsi="Times New Roman" w:cs="Times New Roman"/>
          <w:sz w:val="24"/>
        </w:rPr>
        <w:t>más</w:t>
      </w:r>
      <w:r w:rsidR="008332C9" w:rsidRPr="00686018">
        <w:rPr>
          <w:rFonts w:ascii="Times New Roman" w:hAnsi="Times New Roman" w:cs="Times New Roman"/>
          <w:sz w:val="24"/>
        </w:rPr>
        <w:t xml:space="preserve"> metano se trata.</w:t>
      </w:r>
    </w:p>
    <w:p w:rsidR="00EE6698" w:rsidRPr="00686018" w:rsidRDefault="00E332E8" w:rsidP="00A31608">
      <w:pPr>
        <w:pStyle w:val="Ttulo5"/>
        <w:numPr>
          <w:ilvl w:val="3"/>
          <w:numId w:val="4"/>
        </w:numPr>
        <w:ind w:left="646" w:hanging="646"/>
        <w:jc w:val="both"/>
        <w:rPr>
          <w:rFonts w:ascii="Times New Roman" w:hAnsi="Times New Roman" w:cs="Times New Roman"/>
          <w:i w:val="0"/>
        </w:rPr>
      </w:pPr>
      <w:bookmarkStart w:id="281" w:name="_Toc9537863"/>
      <w:r w:rsidRPr="00686018">
        <w:rPr>
          <w:rFonts w:ascii="Times New Roman" w:hAnsi="Times New Roman" w:cs="Times New Roman"/>
          <w:i w:val="0"/>
        </w:rPr>
        <w:t>ANOVA</w:t>
      </w:r>
      <w:r w:rsidR="00EE6698" w:rsidRPr="00686018">
        <w:rPr>
          <w:rFonts w:ascii="Times New Roman" w:hAnsi="Times New Roman" w:cs="Times New Roman"/>
          <w:i w:val="0"/>
        </w:rPr>
        <w:t xml:space="preserve"> para </w:t>
      </w:r>
      <w:r w:rsidR="00DD14D0">
        <w:rPr>
          <w:rFonts w:ascii="Times New Roman" w:hAnsi="Times New Roman" w:cs="Times New Roman"/>
          <w:i w:val="0"/>
        </w:rPr>
        <w:t>mL</w:t>
      </w:r>
      <w:r w:rsidRPr="00686018">
        <w:rPr>
          <w:rFonts w:ascii="Times New Roman" w:hAnsi="Times New Roman" w:cs="Times New Roman"/>
          <w:i w:val="0"/>
        </w:rPr>
        <w:t xml:space="preserve">Biogás/g-SV, </w:t>
      </w:r>
      <w:r w:rsidR="00DD14D0">
        <w:rPr>
          <w:rFonts w:ascii="Times New Roman" w:hAnsi="Times New Roman" w:cs="Times New Roman"/>
          <w:i w:val="0"/>
        </w:rPr>
        <w:t>mL</w:t>
      </w:r>
      <w:r w:rsidR="000268E7" w:rsidRPr="00686018">
        <w:rPr>
          <w:rFonts w:ascii="Times New Roman" w:hAnsi="Times New Roman" w:cs="Times New Roman"/>
          <w:i w:val="0"/>
        </w:rPr>
        <w:t xml:space="preserve">CH4/g-SV y %CH4 </w:t>
      </w:r>
      <w:r w:rsidR="00EE6698" w:rsidRPr="00686018">
        <w:rPr>
          <w:rFonts w:ascii="Times New Roman" w:hAnsi="Times New Roman" w:cs="Times New Roman"/>
          <w:i w:val="0"/>
        </w:rPr>
        <w:t>a una razón I:S–1:1</w:t>
      </w:r>
      <w:bookmarkEnd w:id="281"/>
    </w:p>
    <w:p w:rsidR="00EE6698" w:rsidRPr="00686018" w:rsidRDefault="00EE6698" w:rsidP="00A31608">
      <w:pPr>
        <w:pStyle w:val="Descripcin"/>
        <w:spacing w:before="360"/>
        <w:jc w:val="both"/>
        <w:rPr>
          <w:rFonts w:ascii="Times New Roman" w:hAnsi="Times New Roman" w:cs="Times New Roman"/>
          <w:i w:val="0"/>
          <w:color w:val="000000" w:themeColor="text1"/>
        </w:rPr>
      </w:pPr>
      <w:bookmarkStart w:id="282" w:name="_Toc9537924"/>
      <w:r w:rsidRPr="00686018">
        <w:rPr>
          <w:rFonts w:ascii="Times New Roman" w:hAnsi="Times New Roman" w:cs="Times New Roman"/>
          <w:b/>
          <w:i w:val="0"/>
          <w:color w:val="000000" w:themeColor="text1"/>
        </w:rPr>
        <w:t xml:space="preserve">Tabla </w:t>
      </w:r>
      <w:r w:rsidRPr="00686018">
        <w:rPr>
          <w:rFonts w:ascii="Times New Roman" w:hAnsi="Times New Roman" w:cs="Times New Roman"/>
          <w:b/>
          <w:i w:val="0"/>
          <w:color w:val="000000" w:themeColor="text1"/>
        </w:rPr>
        <w:fldChar w:fldCharType="begin"/>
      </w:r>
      <w:r w:rsidRPr="00686018">
        <w:rPr>
          <w:rFonts w:ascii="Times New Roman" w:hAnsi="Times New Roman" w:cs="Times New Roman"/>
          <w:b/>
          <w:i w:val="0"/>
          <w:color w:val="000000" w:themeColor="text1"/>
        </w:rPr>
        <w:instrText xml:space="preserve"> SEQ Tabla \* ARABIC </w:instrText>
      </w:r>
      <w:r w:rsidRPr="00686018">
        <w:rPr>
          <w:rFonts w:ascii="Times New Roman" w:hAnsi="Times New Roman" w:cs="Times New Roman"/>
          <w:b/>
          <w:i w:val="0"/>
          <w:color w:val="000000" w:themeColor="text1"/>
        </w:rPr>
        <w:fldChar w:fldCharType="separate"/>
      </w:r>
      <w:r w:rsidR="00973AF5" w:rsidRPr="00686018">
        <w:rPr>
          <w:rFonts w:ascii="Times New Roman" w:hAnsi="Times New Roman" w:cs="Times New Roman"/>
          <w:b/>
          <w:i w:val="0"/>
          <w:noProof/>
          <w:color w:val="000000" w:themeColor="text1"/>
        </w:rPr>
        <w:t>21</w:t>
      </w:r>
      <w:r w:rsidRPr="00686018">
        <w:rPr>
          <w:rFonts w:ascii="Times New Roman" w:hAnsi="Times New Roman" w:cs="Times New Roman"/>
          <w:b/>
          <w:i w:val="0"/>
          <w:color w:val="000000" w:themeColor="text1"/>
        </w:rPr>
        <w:fldChar w:fldCharType="end"/>
      </w:r>
      <w:r w:rsidRPr="00686018">
        <w:rPr>
          <w:rFonts w:ascii="Times New Roman" w:hAnsi="Times New Roman" w:cs="Times New Roman"/>
          <w:b/>
          <w:i w:val="0"/>
          <w:color w:val="000000" w:themeColor="text1"/>
        </w:rPr>
        <w:t>.</w:t>
      </w:r>
      <w:r w:rsidRPr="00686018">
        <w:rPr>
          <w:rFonts w:ascii="Times New Roman" w:hAnsi="Times New Roman" w:cs="Times New Roman"/>
          <w:i w:val="0"/>
          <w:color w:val="000000" w:themeColor="text1"/>
        </w:rPr>
        <w:t xml:space="preserve"> ANOVA </w:t>
      </w:r>
      <w:r w:rsidR="00E81EFA" w:rsidRPr="00686018">
        <w:rPr>
          <w:rFonts w:ascii="Times New Roman" w:hAnsi="Times New Roman" w:cs="Times New Roman"/>
          <w:i w:val="0"/>
          <w:color w:val="auto"/>
        </w:rPr>
        <w:t xml:space="preserve">para </w:t>
      </w:r>
      <w:r w:rsidR="00DD14D0">
        <w:rPr>
          <w:rFonts w:ascii="Times New Roman" w:hAnsi="Times New Roman" w:cs="Times New Roman"/>
          <w:i w:val="0"/>
          <w:color w:val="auto"/>
        </w:rPr>
        <w:t>mL</w:t>
      </w:r>
      <w:r w:rsidR="00E81EFA" w:rsidRPr="00686018">
        <w:rPr>
          <w:rFonts w:ascii="Times New Roman" w:hAnsi="Times New Roman" w:cs="Times New Roman"/>
          <w:i w:val="0"/>
          <w:color w:val="auto"/>
        </w:rPr>
        <w:t xml:space="preserve"> Biogás/g-SV, </w:t>
      </w:r>
      <w:r w:rsidR="00DD14D0">
        <w:rPr>
          <w:rFonts w:ascii="Times New Roman" w:hAnsi="Times New Roman" w:cs="Times New Roman"/>
          <w:i w:val="0"/>
          <w:color w:val="auto"/>
        </w:rPr>
        <w:t>mL</w:t>
      </w:r>
      <w:r w:rsidR="00E81EFA" w:rsidRPr="00686018">
        <w:rPr>
          <w:rFonts w:ascii="Times New Roman" w:hAnsi="Times New Roman" w:cs="Times New Roman"/>
          <w:i w:val="0"/>
          <w:color w:val="auto"/>
        </w:rPr>
        <w:t xml:space="preserve"> </w:t>
      </w:r>
      <w:r w:rsidR="00DF442D" w:rsidRPr="00686018">
        <w:rPr>
          <w:rFonts w:ascii="Times New Roman" w:hAnsi="Times New Roman" w:cs="Times New Roman"/>
          <w:i w:val="0"/>
          <w:color w:val="auto"/>
        </w:rPr>
        <w:t>CH4/g-SV y %CH</w:t>
      </w:r>
      <w:r w:rsidR="00DF442D" w:rsidRPr="00686018">
        <w:rPr>
          <w:rFonts w:ascii="Times New Roman" w:hAnsi="Times New Roman" w:cs="Times New Roman"/>
          <w:i w:val="0"/>
          <w:color w:val="auto"/>
          <w:vertAlign w:val="subscript"/>
        </w:rPr>
        <w:t xml:space="preserve">4 </w:t>
      </w:r>
      <w:r w:rsidR="00DF442D" w:rsidRPr="00686018">
        <w:rPr>
          <w:rFonts w:ascii="Times New Roman" w:hAnsi="Times New Roman" w:cs="Times New Roman"/>
          <w:i w:val="0"/>
          <w:color w:val="auto"/>
        </w:rPr>
        <w:t xml:space="preserve"> a </w:t>
      </w:r>
      <w:r w:rsidRPr="00686018">
        <w:rPr>
          <w:rFonts w:ascii="Times New Roman" w:hAnsi="Times New Roman" w:cs="Times New Roman"/>
          <w:i w:val="0"/>
          <w:color w:val="000000" w:themeColor="text1"/>
        </w:rPr>
        <w:t>una razón I:S – 1:1</w:t>
      </w:r>
      <w:bookmarkEnd w:id="282"/>
    </w:p>
    <w:tbl>
      <w:tblPr>
        <w:tblW w:w="7929" w:type="dxa"/>
        <w:jc w:val="center"/>
        <w:tblCellMar>
          <w:left w:w="70" w:type="dxa"/>
          <w:right w:w="70" w:type="dxa"/>
        </w:tblCellMar>
        <w:tblLook w:val="04A0" w:firstRow="1" w:lastRow="0" w:firstColumn="1" w:lastColumn="0" w:noHBand="0" w:noVBand="1"/>
      </w:tblPr>
      <w:tblGrid>
        <w:gridCol w:w="1546"/>
        <w:gridCol w:w="1160"/>
        <w:gridCol w:w="1546"/>
        <w:gridCol w:w="1352"/>
        <w:gridCol w:w="1160"/>
        <w:gridCol w:w="1165"/>
      </w:tblGrid>
      <w:tr w:rsidR="00270913" w:rsidRPr="00686018" w:rsidTr="00711FF6">
        <w:trPr>
          <w:trHeight w:val="269"/>
          <w:jc w:val="center"/>
        </w:trPr>
        <w:tc>
          <w:tcPr>
            <w:tcW w:w="7929" w:type="dxa"/>
            <w:gridSpan w:val="6"/>
            <w:tcBorders>
              <w:top w:val="single" w:sz="4" w:space="0" w:color="auto"/>
              <w:left w:val="nil"/>
              <w:bottom w:val="nil"/>
              <w:right w:val="nil"/>
            </w:tcBorders>
            <w:shd w:val="clear" w:color="auto" w:fill="auto"/>
            <w:noWrap/>
            <w:vAlign w:val="center"/>
            <w:hideMark/>
          </w:tcPr>
          <w:p w:rsidR="00270913" w:rsidRPr="00686018" w:rsidRDefault="00DF442D" w:rsidP="00A31608">
            <w:pPr>
              <w:spacing w:after="0" w:line="240" w:lineRule="auto"/>
              <w:jc w:val="both"/>
              <w:rPr>
                <w:rFonts w:ascii="Times New Roman" w:eastAsia="Times New Roman" w:hAnsi="Times New Roman" w:cs="Times New Roman"/>
                <w:color w:val="004D72"/>
                <w:sz w:val="16"/>
                <w:szCs w:val="16"/>
                <w:lang w:eastAsia="es-EC"/>
              </w:rPr>
            </w:pPr>
            <w:r w:rsidRPr="00686018">
              <w:rPr>
                <w:rFonts w:ascii="Times New Roman" w:eastAsia="Times New Roman" w:hAnsi="Times New Roman" w:cs="Times New Roman"/>
                <w:bCs/>
                <w:color w:val="004D72"/>
                <w:sz w:val="18"/>
                <w:szCs w:val="18"/>
                <w:lang w:eastAsia="es-EC"/>
              </w:rPr>
              <w:t xml:space="preserve">Análisis de Varianza </w:t>
            </w:r>
            <w:r w:rsidR="00DD14D0">
              <w:rPr>
                <w:rFonts w:ascii="Times New Roman" w:eastAsia="Times New Roman" w:hAnsi="Times New Roman" w:cs="Times New Roman"/>
                <w:bCs/>
                <w:color w:val="004D72"/>
                <w:sz w:val="18"/>
                <w:szCs w:val="18"/>
                <w:lang w:eastAsia="es-EC"/>
              </w:rPr>
              <w:t>mL</w:t>
            </w:r>
            <w:r w:rsidRPr="00686018">
              <w:rPr>
                <w:rFonts w:ascii="Times New Roman" w:eastAsia="Times New Roman" w:hAnsi="Times New Roman" w:cs="Times New Roman"/>
                <w:bCs/>
                <w:color w:val="004D72"/>
                <w:sz w:val="18"/>
                <w:szCs w:val="18"/>
                <w:lang w:eastAsia="es-EC"/>
              </w:rPr>
              <w:t xml:space="preserve"> Biogás/g-SV</w:t>
            </w:r>
          </w:p>
        </w:tc>
      </w:tr>
      <w:tr w:rsidR="00177C52" w:rsidRPr="00686018" w:rsidTr="00711FF6">
        <w:trPr>
          <w:trHeight w:val="269"/>
          <w:jc w:val="center"/>
        </w:trPr>
        <w:tc>
          <w:tcPr>
            <w:tcW w:w="1546"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6"/>
                <w:szCs w:val="16"/>
                <w:lang w:eastAsia="es-EC"/>
              </w:rPr>
            </w:pPr>
            <w:r w:rsidRPr="00686018">
              <w:rPr>
                <w:rFonts w:ascii="Times New Roman" w:eastAsia="Times New Roman" w:hAnsi="Times New Roman" w:cs="Times New Roman"/>
                <w:b/>
                <w:bCs/>
                <w:color w:val="000000"/>
                <w:sz w:val="16"/>
                <w:szCs w:val="16"/>
                <w:lang w:eastAsia="es-EC"/>
              </w:rPr>
              <w:t>Fuente</w:t>
            </w:r>
          </w:p>
        </w:tc>
        <w:tc>
          <w:tcPr>
            <w:tcW w:w="1160"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6"/>
                <w:szCs w:val="16"/>
                <w:lang w:eastAsia="es-EC"/>
              </w:rPr>
            </w:pPr>
            <w:r w:rsidRPr="00686018">
              <w:rPr>
                <w:rFonts w:ascii="Times New Roman" w:eastAsia="Times New Roman" w:hAnsi="Times New Roman" w:cs="Times New Roman"/>
                <w:b/>
                <w:bCs/>
                <w:color w:val="000000"/>
                <w:sz w:val="16"/>
                <w:szCs w:val="16"/>
                <w:lang w:eastAsia="es-EC"/>
              </w:rPr>
              <w:t>GL</w:t>
            </w:r>
          </w:p>
        </w:tc>
        <w:tc>
          <w:tcPr>
            <w:tcW w:w="1546"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6"/>
                <w:szCs w:val="16"/>
                <w:lang w:eastAsia="es-EC"/>
              </w:rPr>
            </w:pPr>
            <w:r w:rsidRPr="00686018">
              <w:rPr>
                <w:rFonts w:ascii="Times New Roman" w:eastAsia="Times New Roman" w:hAnsi="Times New Roman" w:cs="Times New Roman"/>
                <w:b/>
                <w:bCs/>
                <w:color w:val="000000"/>
                <w:sz w:val="16"/>
                <w:szCs w:val="16"/>
                <w:lang w:eastAsia="es-EC"/>
              </w:rPr>
              <w:t xml:space="preserve">SC </w:t>
            </w:r>
            <w:r w:rsidR="00177C52" w:rsidRPr="00686018">
              <w:rPr>
                <w:rFonts w:ascii="Times New Roman" w:eastAsia="Times New Roman" w:hAnsi="Times New Roman" w:cs="Times New Roman"/>
                <w:b/>
                <w:bCs/>
                <w:color w:val="000000"/>
                <w:sz w:val="18"/>
                <w:szCs w:val="18"/>
                <w:lang w:eastAsia="es-EC"/>
              </w:rPr>
              <w:t>Ajustado</w:t>
            </w:r>
          </w:p>
        </w:tc>
        <w:tc>
          <w:tcPr>
            <w:tcW w:w="1352"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6"/>
                <w:szCs w:val="16"/>
                <w:lang w:eastAsia="es-EC"/>
              </w:rPr>
            </w:pPr>
            <w:r w:rsidRPr="00686018">
              <w:rPr>
                <w:rFonts w:ascii="Times New Roman" w:eastAsia="Times New Roman" w:hAnsi="Times New Roman" w:cs="Times New Roman"/>
                <w:b/>
                <w:bCs/>
                <w:color w:val="000000"/>
                <w:sz w:val="16"/>
                <w:szCs w:val="16"/>
                <w:lang w:eastAsia="es-EC"/>
              </w:rPr>
              <w:t xml:space="preserve">MC </w:t>
            </w:r>
            <w:r w:rsidR="00177C52" w:rsidRPr="00686018">
              <w:rPr>
                <w:rFonts w:ascii="Times New Roman" w:eastAsia="Times New Roman" w:hAnsi="Times New Roman" w:cs="Times New Roman"/>
                <w:b/>
                <w:bCs/>
                <w:color w:val="000000"/>
                <w:sz w:val="18"/>
                <w:szCs w:val="18"/>
                <w:lang w:eastAsia="es-EC"/>
              </w:rPr>
              <w:t>Ajustado</w:t>
            </w:r>
          </w:p>
        </w:tc>
        <w:tc>
          <w:tcPr>
            <w:tcW w:w="1160"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6"/>
                <w:szCs w:val="16"/>
                <w:lang w:eastAsia="es-EC"/>
              </w:rPr>
            </w:pPr>
            <w:r w:rsidRPr="00686018">
              <w:rPr>
                <w:rFonts w:ascii="Times New Roman" w:eastAsia="Times New Roman" w:hAnsi="Times New Roman" w:cs="Times New Roman"/>
                <w:b/>
                <w:bCs/>
                <w:color w:val="000000"/>
                <w:sz w:val="16"/>
                <w:szCs w:val="16"/>
                <w:lang w:eastAsia="es-EC"/>
              </w:rPr>
              <w:t>Valor F</w:t>
            </w:r>
          </w:p>
        </w:tc>
        <w:tc>
          <w:tcPr>
            <w:tcW w:w="1163"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6"/>
                <w:szCs w:val="16"/>
                <w:lang w:eastAsia="es-EC"/>
              </w:rPr>
            </w:pPr>
            <w:r w:rsidRPr="00686018">
              <w:rPr>
                <w:rFonts w:ascii="Times New Roman" w:eastAsia="Times New Roman" w:hAnsi="Times New Roman" w:cs="Times New Roman"/>
                <w:b/>
                <w:bCs/>
                <w:color w:val="000000"/>
                <w:sz w:val="16"/>
                <w:szCs w:val="16"/>
                <w:lang w:eastAsia="es-EC"/>
              </w:rPr>
              <w:t>Valor p</w:t>
            </w:r>
          </w:p>
        </w:tc>
      </w:tr>
      <w:tr w:rsidR="00177C52" w:rsidRPr="00686018" w:rsidTr="00711FF6">
        <w:trPr>
          <w:trHeight w:val="269"/>
          <w:jc w:val="center"/>
        </w:trPr>
        <w:tc>
          <w:tcPr>
            <w:tcW w:w="1546"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RE-TR</w:t>
            </w:r>
          </w:p>
        </w:tc>
        <w:tc>
          <w:tcPr>
            <w:tcW w:w="1160"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4</w:t>
            </w:r>
          </w:p>
        </w:tc>
        <w:tc>
          <w:tcPr>
            <w:tcW w:w="1546"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18185</w:t>
            </w:r>
            <w:r w:rsidR="00E81EFA" w:rsidRPr="00686018">
              <w:rPr>
                <w:rFonts w:ascii="Times New Roman" w:eastAsia="Times New Roman" w:hAnsi="Times New Roman" w:cs="Times New Roman"/>
                <w:color w:val="000000"/>
                <w:sz w:val="16"/>
                <w:szCs w:val="16"/>
                <w:lang w:eastAsia="es-EC"/>
              </w:rPr>
              <w:t>.</w:t>
            </w:r>
            <w:r w:rsidRPr="00686018">
              <w:rPr>
                <w:rFonts w:ascii="Times New Roman" w:eastAsia="Times New Roman" w:hAnsi="Times New Roman" w:cs="Times New Roman"/>
                <w:color w:val="000000"/>
                <w:sz w:val="16"/>
                <w:szCs w:val="16"/>
                <w:lang w:eastAsia="es-EC"/>
              </w:rPr>
              <w:t>7</w:t>
            </w:r>
          </w:p>
        </w:tc>
        <w:tc>
          <w:tcPr>
            <w:tcW w:w="1352"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4546</w:t>
            </w:r>
            <w:r w:rsidR="00E81EFA" w:rsidRPr="00686018">
              <w:rPr>
                <w:rFonts w:ascii="Times New Roman" w:eastAsia="Times New Roman" w:hAnsi="Times New Roman" w:cs="Times New Roman"/>
                <w:color w:val="000000"/>
                <w:sz w:val="16"/>
                <w:szCs w:val="16"/>
                <w:lang w:eastAsia="es-EC"/>
              </w:rPr>
              <w:t>.</w:t>
            </w:r>
            <w:r w:rsidRPr="00686018">
              <w:rPr>
                <w:rFonts w:ascii="Times New Roman" w:eastAsia="Times New Roman" w:hAnsi="Times New Roman" w:cs="Times New Roman"/>
                <w:color w:val="000000"/>
                <w:sz w:val="16"/>
                <w:szCs w:val="16"/>
                <w:lang w:eastAsia="es-EC"/>
              </w:rPr>
              <w:t>43</w:t>
            </w:r>
          </w:p>
        </w:tc>
        <w:tc>
          <w:tcPr>
            <w:tcW w:w="1160"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205</w:t>
            </w:r>
            <w:r w:rsidR="00E81EFA" w:rsidRPr="00686018">
              <w:rPr>
                <w:rFonts w:ascii="Times New Roman" w:eastAsia="Times New Roman" w:hAnsi="Times New Roman" w:cs="Times New Roman"/>
                <w:color w:val="000000"/>
                <w:sz w:val="16"/>
                <w:szCs w:val="16"/>
                <w:lang w:eastAsia="es-EC"/>
              </w:rPr>
              <w:t>.</w:t>
            </w:r>
            <w:r w:rsidRPr="00686018">
              <w:rPr>
                <w:rFonts w:ascii="Times New Roman" w:eastAsia="Times New Roman" w:hAnsi="Times New Roman" w:cs="Times New Roman"/>
                <w:color w:val="000000"/>
                <w:sz w:val="16"/>
                <w:szCs w:val="16"/>
                <w:lang w:eastAsia="es-EC"/>
              </w:rPr>
              <w:t>94</w:t>
            </w:r>
          </w:p>
        </w:tc>
        <w:tc>
          <w:tcPr>
            <w:tcW w:w="1163"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0</w:t>
            </w:r>
            <w:r w:rsidR="00E81EFA" w:rsidRPr="00686018">
              <w:rPr>
                <w:rFonts w:ascii="Times New Roman" w:eastAsia="Times New Roman" w:hAnsi="Times New Roman" w:cs="Times New Roman"/>
                <w:color w:val="000000"/>
                <w:sz w:val="16"/>
                <w:szCs w:val="16"/>
                <w:lang w:eastAsia="es-EC"/>
              </w:rPr>
              <w:t>.</w:t>
            </w:r>
            <w:r w:rsidRPr="00686018">
              <w:rPr>
                <w:rFonts w:ascii="Times New Roman" w:eastAsia="Times New Roman" w:hAnsi="Times New Roman" w:cs="Times New Roman"/>
                <w:color w:val="000000"/>
                <w:sz w:val="16"/>
                <w:szCs w:val="16"/>
                <w:lang w:eastAsia="es-EC"/>
              </w:rPr>
              <w:t>000</w:t>
            </w:r>
          </w:p>
        </w:tc>
      </w:tr>
      <w:tr w:rsidR="00177C52" w:rsidRPr="00686018" w:rsidTr="00711FF6">
        <w:trPr>
          <w:trHeight w:val="269"/>
          <w:jc w:val="center"/>
        </w:trPr>
        <w:tc>
          <w:tcPr>
            <w:tcW w:w="1546"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Error</w:t>
            </w:r>
          </w:p>
        </w:tc>
        <w:tc>
          <w:tcPr>
            <w:tcW w:w="1160"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10</w:t>
            </w:r>
          </w:p>
        </w:tc>
        <w:tc>
          <w:tcPr>
            <w:tcW w:w="1546"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220</w:t>
            </w:r>
            <w:r w:rsidR="00E81EFA" w:rsidRPr="00686018">
              <w:rPr>
                <w:rFonts w:ascii="Times New Roman" w:eastAsia="Times New Roman" w:hAnsi="Times New Roman" w:cs="Times New Roman"/>
                <w:color w:val="000000"/>
                <w:sz w:val="16"/>
                <w:szCs w:val="16"/>
                <w:lang w:eastAsia="es-EC"/>
              </w:rPr>
              <w:t>.</w:t>
            </w:r>
            <w:r w:rsidRPr="00686018">
              <w:rPr>
                <w:rFonts w:ascii="Times New Roman" w:eastAsia="Times New Roman" w:hAnsi="Times New Roman" w:cs="Times New Roman"/>
                <w:color w:val="000000"/>
                <w:sz w:val="16"/>
                <w:szCs w:val="16"/>
                <w:lang w:eastAsia="es-EC"/>
              </w:rPr>
              <w:t>8</w:t>
            </w:r>
          </w:p>
        </w:tc>
        <w:tc>
          <w:tcPr>
            <w:tcW w:w="1352"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22</w:t>
            </w:r>
            <w:r w:rsidR="00E81EFA" w:rsidRPr="00686018">
              <w:rPr>
                <w:rFonts w:ascii="Times New Roman" w:eastAsia="Times New Roman" w:hAnsi="Times New Roman" w:cs="Times New Roman"/>
                <w:color w:val="000000"/>
                <w:sz w:val="16"/>
                <w:szCs w:val="16"/>
                <w:lang w:eastAsia="es-EC"/>
              </w:rPr>
              <w:t>.</w:t>
            </w:r>
            <w:r w:rsidRPr="00686018">
              <w:rPr>
                <w:rFonts w:ascii="Times New Roman" w:eastAsia="Times New Roman" w:hAnsi="Times New Roman" w:cs="Times New Roman"/>
                <w:color w:val="000000"/>
                <w:sz w:val="16"/>
                <w:szCs w:val="16"/>
                <w:lang w:eastAsia="es-EC"/>
              </w:rPr>
              <w:t>08</w:t>
            </w:r>
          </w:p>
        </w:tc>
        <w:tc>
          <w:tcPr>
            <w:tcW w:w="1160"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p>
        </w:tc>
        <w:tc>
          <w:tcPr>
            <w:tcW w:w="1163"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sz w:val="20"/>
                <w:szCs w:val="20"/>
                <w:lang w:eastAsia="es-EC"/>
              </w:rPr>
            </w:pPr>
          </w:p>
        </w:tc>
      </w:tr>
      <w:tr w:rsidR="00177C52" w:rsidRPr="00686018" w:rsidTr="00711FF6">
        <w:trPr>
          <w:trHeight w:val="269"/>
          <w:jc w:val="center"/>
        </w:trPr>
        <w:tc>
          <w:tcPr>
            <w:tcW w:w="1546"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Total</w:t>
            </w:r>
          </w:p>
        </w:tc>
        <w:tc>
          <w:tcPr>
            <w:tcW w:w="1160"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14</w:t>
            </w:r>
          </w:p>
        </w:tc>
        <w:tc>
          <w:tcPr>
            <w:tcW w:w="1546"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r w:rsidRPr="00686018">
              <w:rPr>
                <w:rFonts w:ascii="Times New Roman" w:eastAsia="Times New Roman" w:hAnsi="Times New Roman" w:cs="Times New Roman"/>
                <w:color w:val="000000"/>
                <w:sz w:val="16"/>
                <w:szCs w:val="16"/>
                <w:lang w:eastAsia="es-EC"/>
              </w:rPr>
              <w:t>18406</w:t>
            </w:r>
            <w:r w:rsidR="00E81EFA" w:rsidRPr="00686018">
              <w:rPr>
                <w:rFonts w:ascii="Times New Roman" w:eastAsia="Times New Roman" w:hAnsi="Times New Roman" w:cs="Times New Roman"/>
                <w:color w:val="000000"/>
                <w:sz w:val="16"/>
                <w:szCs w:val="16"/>
                <w:lang w:eastAsia="es-EC"/>
              </w:rPr>
              <w:t>.</w:t>
            </w:r>
            <w:r w:rsidRPr="00686018">
              <w:rPr>
                <w:rFonts w:ascii="Times New Roman" w:eastAsia="Times New Roman" w:hAnsi="Times New Roman" w:cs="Times New Roman"/>
                <w:color w:val="000000"/>
                <w:sz w:val="16"/>
                <w:szCs w:val="16"/>
                <w:lang w:eastAsia="es-EC"/>
              </w:rPr>
              <w:t>5</w:t>
            </w:r>
          </w:p>
        </w:tc>
        <w:tc>
          <w:tcPr>
            <w:tcW w:w="1352"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color w:val="000000"/>
                <w:sz w:val="16"/>
                <w:szCs w:val="16"/>
                <w:lang w:eastAsia="es-EC"/>
              </w:rPr>
            </w:pPr>
          </w:p>
        </w:tc>
        <w:tc>
          <w:tcPr>
            <w:tcW w:w="1160"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sz w:val="20"/>
                <w:szCs w:val="20"/>
                <w:lang w:eastAsia="es-EC"/>
              </w:rPr>
            </w:pPr>
          </w:p>
        </w:tc>
        <w:tc>
          <w:tcPr>
            <w:tcW w:w="1163" w:type="dxa"/>
            <w:tcBorders>
              <w:top w:val="nil"/>
              <w:left w:val="nil"/>
              <w:bottom w:val="nil"/>
              <w:right w:val="nil"/>
            </w:tcBorders>
            <w:shd w:val="clear" w:color="auto" w:fill="auto"/>
            <w:noWrap/>
            <w:hideMark/>
          </w:tcPr>
          <w:p w:rsidR="00270913" w:rsidRPr="00686018" w:rsidRDefault="00270913" w:rsidP="00A31608">
            <w:pPr>
              <w:spacing w:after="0" w:line="240" w:lineRule="auto"/>
              <w:jc w:val="both"/>
              <w:rPr>
                <w:rFonts w:ascii="Times New Roman" w:eastAsia="Times New Roman" w:hAnsi="Times New Roman" w:cs="Times New Roman"/>
                <w:sz w:val="20"/>
                <w:szCs w:val="20"/>
                <w:lang w:eastAsia="es-EC"/>
              </w:rPr>
            </w:pPr>
          </w:p>
        </w:tc>
      </w:tr>
      <w:tr w:rsidR="00270913" w:rsidRPr="00686018" w:rsidTr="00711FF6">
        <w:trPr>
          <w:trHeight w:val="269"/>
          <w:jc w:val="center"/>
        </w:trPr>
        <w:tc>
          <w:tcPr>
            <w:tcW w:w="7929" w:type="dxa"/>
            <w:gridSpan w:val="6"/>
            <w:tcBorders>
              <w:top w:val="single" w:sz="4" w:space="0" w:color="auto"/>
              <w:left w:val="nil"/>
              <w:bottom w:val="nil"/>
              <w:right w:val="nil"/>
            </w:tcBorders>
            <w:shd w:val="clear" w:color="auto" w:fill="auto"/>
            <w:noWrap/>
            <w:vAlign w:val="center"/>
            <w:hideMark/>
          </w:tcPr>
          <w:p w:rsidR="00270913" w:rsidRPr="00686018" w:rsidRDefault="00DF442D" w:rsidP="00A31608">
            <w:pPr>
              <w:spacing w:after="0" w:line="240" w:lineRule="auto"/>
              <w:jc w:val="both"/>
              <w:rPr>
                <w:rFonts w:ascii="Times New Roman" w:eastAsia="Times New Roman" w:hAnsi="Times New Roman" w:cs="Times New Roman"/>
                <w:color w:val="004D72"/>
                <w:sz w:val="16"/>
                <w:szCs w:val="16"/>
                <w:lang w:eastAsia="es-EC"/>
              </w:rPr>
            </w:pPr>
            <w:r w:rsidRPr="00686018">
              <w:rPr>
                <w:rFonts w:ascii="Times New Roman" w:eastAsia="Times New Roman" w:hAnsi="Times New Roman" w:cs="Times New Roman"/>
                <w:bCs/>
                <w:color w:val="004D72"/>
                <w:sz w:val="18"/>
                <w:szCs w:val="18"/>
                <w:lang w:eastAsia="es-EC"/>
              </w:rPr>
              <w:t xml:space="preserve">Análisis de Varianza </w:t>
            </w:r>
            <w:r w:rsidR="00DD14D0">
              <w:rPr>
                <w:rFonts w:ascii="Times New Roman" w:eastAsia="Times New Roman" w:hAnsi="Times New Roman" w:cs="Times New Roman"/>
                <w:bCs/>
                <w:color w:val="004D72"/>
                <w:sz w:val="18"/>
                <w:szCs w:val="18"/>
                <w:lang w:eastAsia="es-EC"/>
              </w:rPr>
              <w:t>mL</w:t>
            </w:r>
            <w:r w:rsidRPr="00686018">
              <w:rPr>
                <w:rFonts w:ascii="Times New Roman" w:eastAsia="Times New Roman" w:hAnsi="Times New Roman" w:cs="Times New Roman"/>
                <w:bCs/>
                <w:color w:val="004D72"/>
                <w:sz w:val="18"/>
                <w:szCs w:val="18"/>
                <w:lang w:eastAsia="es-EC"/>
              </w:rPr>
              <w:t xml:space="preserve"> CH4/g-SV</w:t>
            </w:r>
          </w:p>
        </w:tc>
      </w:tr>
      <w:tr w:rsidR="00177C52" w:rsidRPr="00686018" w:rsidTr="00711FF6">
        <w:trPr>
          <w:trHeight w:val="269"/>
          <w:jc w:val="center"/>
        </w:trPr>
        <w:tc>
          <w:tcPr>
            <w:tcW w:w="1546"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Fuente</w:t>
            </w:r>
          </w:p>
        </w:tc>
        <w:tc>
          <w:tcPr>
            <w:tcW w:w="1160"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GL</w:t>
            </w:r>
          </w:p>
        </w:tc>
        <w:tc>
          <w:tcPr>
            <w:tcW w:w="1546"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SC </w:t>
            </w:r>
            <w:r w:rsidR="00177C52" w:rsidRPr="00686018">
              <w:rPr>
                <w:rFonts w:ascii="Times New Roman" w:eastAsia="Times New Roman" w:hAnsi="Times New Roman" w:cs="Times New Roman"/>
                <w:b/>
                <w:bCs/>
                <w:color w:val="000000"/>
                <w:sz w:val="18"/>
                <w:szCs w:val="18"/>
                <w:lang w:eastAsia="es-EC"/>
              </w:rPr>
              <w:t>Ajustado</w:t>
            </w:r>
          </w:p>
        </w:tc>
        <w:tc>
          <w:tcPr>
            <w:tcW w:w="1352"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MC </w:t>
            </w:r>
            <w:r w:rsidR="00177C52" w:rsidRPr="00686018">
              <w:rPr>
                <w:rFonts w:ascii="Times New Roman" w:eastAsia="Times New Roman" w:hAnsi="Times New Roman" w:cs="Times New Roman"/>
                <w:b/>
                <w:bCs/>
                <w:color w:val="000000"/>
                <w:sz w:val="18"/>
                <w:szCs w:val="18"/>
                <w:lang w:eastAsia="es-EC"/>
              </w:rPr>
              <w:t>Ajustado</w:t>
            </w:r>
          </w:p>
        </w:tc>
        <w:tc>
          <w:tcPr>
            <w:tcW w:w="1160"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F</w:t>
            </w:r>
          </w:p>
        </w:tc>
        <w:tc>
          <w:tcPr>
            <w:tcW w:w="1163"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p</w:t>
            </w:r>
          </w:p>
        </w:tc>
      </w:tr>
      <w:tr w:rsidR="00177C52" w:rsidRPr="00686018" w:rsidTr="00711FF6">
        <w:trPr>
          <w:trHeight w:val="269"/>
          <w:jc w:val="center"/>
        </w:trPr>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3055</w:t>
            </w:r>
          </w:p>
        </w:tc>
        <w:tc>
          <w:tcPr>
            <w:tcW w:w="1352"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763</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76</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64</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49</w:t>
            </w:r>
          </w:p>
        </w:tc>
        <w:tc>
          <w:tcPr>
            <w:tcW w:w="1163"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r>
      <w:tr w:rsidR="00177C52" w:rsidRPr="00686018" w:rsidTr="00711FF6">
        <w:trPr>
          <w:trHeight w:val="269"/>
          <w:jc w:val="center"/>
        </w:trPr>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Error</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118</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w:t>
            </w:r>
          </w:p>
        </w:tc>
        <w:tc>
          <w:tcPr>
            <w:tcW w:w="1352"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84</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p>
        </w:tc>
        <w:tc>
          <w:tcPr>
            <w:tcW w:w="1163"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sz w:val="20"/>
                <w:szCs w:val="20"/>
                <w:lang w:eastAsia="es-EC"/>
              </w:rPr>
            </w:pPr>
          </w:p>
        </w:tc>
      </w:tr>
      <w:tr w:rsidR="00177C52" w:rsidRPr="00686018" w:rsidTr="00711FF6">
        <w:trPr>
          <w:trHeight w:val="269"/>
          <w:jc w:val="center"/>
        </w:trPr>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Total</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3173</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w:t>
            </w:r>
          </w:p>
        </w:tc>
        <w:tc>
          <w:tcPr>
            <w:tcW w:w="1352"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sz w:val="20"/>
                <w:szCs w:val="20"/>
                <w:lang w:eastAsia="es-EC"/>
              </w:rPr>
            </w:pPr>
          </w:p>
        </w:tc>
        <w:tc>
          <w:tcPr>
            <w:tcW w:w="1163"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sz w:val="20"/>
                <w:szCs w:val="20"/>
                <w:lang w:eastAsia="es-EC"/>
              </w:rPr>
            </w:pPr>
          </w:p>
        </w:tc>
      </w:tr>
      <w:tr w:rsidR="00270913" w:rsidRPr="00686018" w:rsidTr="00711FF6">
        <w:trPr>
          <w:trHeight w:val="269"/>
          <w:jc w:val="center"/>
        </w:trPr>
        <w:tc>
          <w:tcPr>
            <w:tcW w:w="7929" w:type="dxa"/>
            <w:gridSpan w:val="6"/>
            <w:tcBorders>
              <w:top w:val="single" w:sz="4" w:space="0" w:color="auto"/>
              <w:left w:val="nil"/>
              <w:bottom w:val="nil"/>
              <w:right w:val="nil"/>
            </w:tcBorders>
            <w:shd w:val="clear" w:color="auto" w:fill="auto"/>
            <w:noWrap/>
            <w:vAlign w:val="center"/>
            <w:hideMark/>
          </w:tcPr>
          <w:p w:rsidR="00270913" w:rsidRPr="00686018" w:rsidRDefault="00DF442D" w:rsidP="00A31608">
            <w:pPr>
              <w:spacing w:after="0" w:line="240" w:lineRule="auto"/>
              <w:jc w:val="both"/>
              <w:rPr>
                <w:rFonts w:ascii="Times New Roman" w:eastAsia="Times New Roman" w:hAnsi="Times New Roman" w:cs="Times New Roman"/>
                <w:color w:val="004D72"/>
                <w:sz w:val="16"/>
                <w:szCs w:val="16"/>
                <w:lang w:eastAsia="es-EC"/>
              </w:rPr>
            </w:pPr>
            <w:r w:rsidRPr="00686018">
              <w:rPr>
                <w:rFonts w:ascii="Times New Roman" w:eastAsia="Times New Roman" w:hAnsi="Times New Roman" w:cs="Times New Roman"/>
                <w:bCs/>
                <w:color w:val="004D72"/>
                <w:sz w:val="18"/>
                <w:szCs w:val="18"/>
                <w:lang w:eastAsia="es-EC"/>
              </w:rPr>
              <w:t>Análisis de Varianza % CH4</w:t>
            </w:r>
          </w:p>
        </w:tc>
      </w:tr>
      <w:tr w:rsidR="00177C52" w:rsidRPr="00686018" w:rsidTr="00711FF6">
        <w:trPr>
          <w:trHeight w:val="269"/>
          <w:jc w:val="center"/>
        </w:trPr>
        <w:tc>
          <w:tcPr>
            <w:tcW w:w="1546"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Fuente</w:t>
            </w:r>
          </w:p>
        </w:tc>
        <w:tc>
          <w:tcPr>
            <w:tcW w:w="1160"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GL</w:t>
            </w:r>
          </w:p>
        </w:tc>
        <w:tc>
          <w:tcPr>
            <w:tcW w:w="1546"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SC </w:t>
            </w:r>
            <w:r w:rsidR="00177C52" w:rsidRPr="00686018">
              <w:rPr>
                <w:rFonts w:ascii="Times New Roman" w:eastAsia="Times New Roman" w:hAnsi="Times New Roman" w:cs="Times New Roman"/>
                <w:b/>
                <w:bCs/>
                <w:color w:val="000000"/>
                <w:sz w:val="18"/>
                <w:szCs w:val="18"/>
                <w:lang w:eastAsia="es-EC"/>
              </w:rPr>
              <w:t>Ajustado</w:t>
            </w:r>
          </w:p>
        </w:tc>
        <w:tc>
          <w:tcPr>
            <w:tcW w:w="1352"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MC </w:t>
            </w:r>
            <w:r w:rsidR="00177C52" w:rsidRPr="00686018">
              <w:rPr>
                <w:rFonts w:ascii="Times New Roman" w:eastAsia="Times New Roman" w:hAnsi="Times New Roman" w:cs="Times New Roman"/>
                <w:b/>
                <w:bCs/>
                <w:color w:val="000000"/>
                <w:sz w:val="18"/>
                <w:szCs w:val="18"/>
                <w:lang w:eastAsia="es-EC"/>
              </w:rPr>
              <w:t>Ajustado</w:t>
            </w:r>
          </w:p>
        </w:tc>
        <w:tc>
          <w:tcPr>
            <w:tcW w:w="1160"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F</w:t>
            </w:r>
          </w:p>
        </w:tc>
        <w:tc>
          <w:tcPr>
            <w:tcW w:w="1163"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p</w:t>
            </w:r>
          </w:p>
        </w:tc>
      </w:tr>
      <w:tr w:rsidR="00177C52" w:rsidRPr="00686018" w:rsidTr="00711FF6">
        <w:trPr>
          <w:trHeight w:val="269"/>
          <w:jc w:val="center"/>
        </w:trPr>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142</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817</w:t>
            </w:r>
          </w:p>
        </w:tc>
        <w:tc>
          <w:tcPr>
            <w:tcW w:w="1352"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7044</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103</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09</w:t>
            </w:r>
          </w:p>
        </w:tc>
        <w:tc>
          <w:tcPr>
            <w:tcW w:w="1163"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r>
      <w:tr w:rsidR="00177C52" w:rsidRPr="00686018" w:rsidTr="00711FF6">
        <w:trPr>
          <w:trHeight w:val="269"/>
          <w:jc w:val="center"/>
        </w:trPr>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Error</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1546"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463</w:t>
            </w:r>
          </w:p>
        </w:tc>
        <w:tc>
          <w:tcPr>
            <w:tcW w:w="1352"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3463</w:t>
            </w:r>
          </w:p>
        </w:tc>
        <w:tc>
          <w:tcPr>
            <w:tcW w:w="1160"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p>
        </w:tc>
        <w:tc>
          <w:tcPr>
            <w:tcW w:w="1163" w:type="dxa"/>
            <w:tcBorders>
              <w:top w:val="nil"/>
              <w:left w:val="nil"/>
              <w:bottom w:val="nil"/>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sz w:val="20"/>
                <w:szCs w:val="20"/>
                <w:lang w:eastAsia="es-EC"/>
              </w:rPr>
            </w:pPr>
          </w:p>
        </w:tc>
      </w:tr>
      <w:tr w:rsidR="00177C52" w:rsidRPr="00686018" w:rsidTr="00711FF6">
        <w:trPr>
          <w:trHeight w:val="269"/>
          <w:jc w:val="center"/>
        </w:trPr>
        <w:tc>
          <w:tcPr>
            <w:tcW w:w="1546"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Total</w:t>
            </w:r>
          </w:p>
        </w:tc>
        <w:tc>
          <w:tcPr>
            <w:tcW w:w="1160"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1546"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146</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281</w:t>
            </w:r>
          </w:p>
        </w:tc>
        <w:tc>
          <w:tcPr>
            <w:tcW w:w="1352"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c>
          <w:tcPr>
            <w:tcW w:w="1160"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c>
          <w:tcPr>
            <w:tcW w:w="1163" w:type="dxa"/>
            <w:tcBorders>
              <w:top w:val="nil"/>
              <w:left w:val="nil"/>
              <w:bottom w:val="single" w:sz="4" w:space="0" w:color="auto"/>
              <w:right w:val="nil"/>
            </w:tcBorders>
            <w:shd w:val="clear" w:color="auto" w:fill="auto"/>
            <w:noWrap/>
            <w:vAlign w:val="bottom"/>
            <w:hideMark/>
          </w:tcPr>
          <w:p w:rsidR="00270913" w:rsidRPr="00686018" w:rsidRDefault="0027091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r>
    </w:tbl>
    <w:p w:rsidR="00EE6698" w:rsidRPr="00686018" w:rsidRDefault="00EE6698"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D05F65" w:rsidRPr="00686018" w:rsidRDefault="00AB621F" w:rsidP="00A31608">
      <w:pPr>
        <w:spacing w:before="360" w:after="360"/>
        <w:jc w:val="both"/>
        <w:rPr>
          <w:rFonts w:ascii="Times New Roman" w:hAnsi="Times New Roman" w:cs="Times New Roman"/>
          <w:sz w:val="24"/>
        </w:rPr>
      </w:pPr>
      <w:r w:rsidRPr="00686018">
        <w:rPr>
          <w:rFonts w:ascii="Times New Roman" w:hAnsi="Times New Roman" w:cs="Times New Roman"/>
          <w:sz w:val="24"/>
        </w:rPr>
        <w:t>El valor-</w:t>
      </w:r>
      <w:r w:rsidR="00E81EFA" w:rsidRPr="00686018">
        <w:rPr>
          <w:rFonts w:ascii="Times New Roman" w:hAnsi="Times New Roman" w:cs="Times New Roman"/>
          <w:sz w:val="24"/>
        </w:rPr>
        <w:t>P de la prueba-F es menor que 0.</w:t>
      </w:r>
      <w:r w:rsidRPr="00686018">
        <w:rPr>
          <w:rFonts w:ascii="Times New Roman" w:hAnsi="Times New Roman" w:cs="Times New Roman"/>
          <w:sz w:val="24"/>
        </w:rPr>
        <w:t>05, existe una diferencia estadísticamente sig</w:t>
      </w:r>
      <w:r w:rsidR="00E81EFA" w:rsidRPr="00686018">
        <w:rPr>
          <w:rFonts w:ascii="Times New Roman" w:hAnsi="Times New Roman" w:cs="Times New Roman"/>
          <w:sz w:val="24"/>
        </w:rPr>
        <w:t xml:space="preserve">nificativa entre la media de </w:t>
      </w:r>
      <w:r w:rsidR="00DD14D0">
        <w:rPr>
          <w:rFonts w:ascii="Times New Roman" w:hAnsi="Times New Roman" w:cs="Times New Roman"/>
          <w:sz w:val="24"/>
        </w:rPr>
        <w:t>mL</w:t>
      </w:r>
      <w:r w:rsidRPr="00686018">
        <w:rPr>
          <w:rFonts w:ascii="Times New Roman" w:hAnsi="Times New Roman" w:cs="Times New Roman"/>
          <w:sz w:val="24"/>
        </w:rPr>
        <w:t>biogás/g-SV</w:t>
      </w:r>
      <w:r w:rsidR="00E81EFA" w:rsidRPr="00686018">
        <w:rPr>
          <w:rFonts w:ascii="Times New Roman" w:hAnsi="Times New Roman" w:cs="Times New Roman"/>
          <w:sz w:val="24"/>
        </w:rPr>
        <w:t xml:space="preserve">, </w:t>
      </w:r>
      <w:r w:rsidR="00DD14D0">
        <w:rPr>
          <w:rFonts w:ascii="Times New Roman" w:hAnsi="Times New Roman" w:cs="Times New Roman"/>
          <w:sz w:val="24"/>
        </w:rPr>
        <w:t>mL</w:t>
      </w:r>
      <w:r w:rsidR="00DF442D" w:rsidRPr="00686018">
        <w:rPr>
          <w:rFonts w:ascii="Times New Roman" w:hAnsi="Times New Roman" w:cs="Times New Roman"/>
          <w:sz w:val="24"/>
        </w:rPr>
        <w:t>CH</w:t>
      </w:r>
      <w:r w:rsidR="00DF442D" w:rsidRPr="00686018">
        <w:rPr>
          <w:rFonts w:ascii="Times New Roman" w:hAnsi="Times New Roman" w:cs="Times New Roman"/>
          <w:sz w:val="24"/>
          <w:vertAlign w:val="subscript"/>
        </w:rPr>
        <w:t>4</w:t>
      </w:r>
      <w:r w:rsidR="00DF442D" w:rsidRPr="00686018">
        <w:rPr>
          <w:rFonts w:ascii="Times New Roman" w:hAnsi="Times New Roman" w:cs="Times New Roman"/>
          <w:sz w:val="24"/>
        </w:rPr>
        <w:t>/g-SV y %CH</w:t>
      </w:r>
      <w:r w:rsidR="00DF442D" w:rsidRPr="00686018">
        <w:rPr>
          <w:rFonts w:ascii="Times New Roman" w:hAnsi="Times New Roman" w:cs="Times New Roman"/>
          <w:sz w:val="24"/>
          <w:vertAlign w:val="subscript"/>
        </w:rPr>
        <w:t>4</w:t>
      </w:r>
      <w:r w:rsidRPr="00686018">
        <w:rPr>
          <w:rFonts w:ascii="Times New Roman" w:hAnsi="Times New Roman" w:cs="Times New Roman"/>
          <w:sz w:val="24"/>
        </w:rPr>
        <w:t xml:space="preserve"> entre un nivel de RE-TR y otro; se rechaza la hipótesis nula y se concluye que los tratamientos difieren respecto a la cantidad de biogás</w:t>
      </w:r>
      <w:r w:rsidR="00AA3577" w:rsidRPr="00686018">
        <w:rPr>
          <w:rFonts w:ascii="Times New Roman" w:hAnsi="Times New Roman" w:cs="Times New Roman"/>
          <w:sz w:val="24"/>
        </w:rPr>
        <w:t>, CH</w:t>
      </w:r>
      <w:r w:rsidR="00AA3577" w:rsidRPr="00686018">
        <w:rPr>
          <w:rFonts w:ascii="Times New Roman" w:hAnsi="Times New Roman" w:cs="Times New Roman"/>
          <w:sz w:val="24"/>
          <w:vertAlign w:val="subscript"/>
        </w:rPr>
        <w:t>4</w:t>
      </w:r>
      <w:r w:rsidR="00AA3577" w:rsidRPr="00686018">
        <w:rPr>
          <w:rFonts w:ascii="Times New Roman" w:hAnsi="Times New Roman" w:cs="Times New Roman"/>
          <w:sz w:val="24"/>
        </w:rPr>
        <w:t xml:space="preserve"> y %CH</w:t>
      </w:r>
      <w:r w:rsidR="00AA3577" w:rsidRPr="00686018">
        <w:rPr>
          <w:rFonts w:ascii="Times New Roman" w:hAnsi="Times New Roman" w:cs="Times New Roman"/>
          <w:sz w:val="24"/>
          <w:vertAlign w:val="subscript"/>
        </w:rPr>
        <w:t>4</w:t>
      </w:r>
      <w:r w:rsidRPr="00686018">
        <w:rPr>
          <w:rFonts w:ascii="Times New Roman" w:hAnsi="Times New Roman" w:cs="Times New Roman"/>
          <w:sz w:val="24"/>
        </w:rPr>
        <w:t xml:space="preserve"> generado a los 40 días de digestión. El efecto de los distintos porcentajes de RE y TR respecto la cantidad de biogás generados a los 40 días de digestión se determinó al realizar la comparación de rangos Múltiples de Tukey HSD mostrada a continuación.</w:t>
      </w:r>
    </w:p>
    <w:p w:rsidR="00AB621F" w:rsidRPr="00686018" w:rsidRDefault="00AB621F" w:rsidP="00A31608">
      <w:pPr>
        <w:pStyle w:val="Descripcin"/>
        <w:jc w:val="both"/>
        <w:rPr>
          <w:rFonts w:ascii="Times New Roman" w:hAnsi="Times New Roman" w:cs="Times New Roman"/>
          <w:i w:val="0"/>
          <w:color w:val="000000" w:themeColor="text1"/>
        </w:rPr>
      </w:pPr>
      <w:bookmarkStart w:id="283" w:name="_Toc9537925"/>
      <w:r w:rsidRPr="00686018">
        <w:rPr>
          <w:rFonts w:ascii="Times New Roman" w:hAnsi="Times New Roman" w:cs="Times New Roman"/>
          <w:b/>
          <w:i w:val="0"/>
          <w:color w:val="000000" w:themeColor="text1"/>
        </w:rPr>
        <w:lastRenderedPageBreak/>
        <w:t xml:space="preserve">Tabla </w:t>
      </w:r>
      <w:r w:rsidRPr="00686018">
        <w:rPr>
          <w:rFonts w:ascii="Times New Roman" w:hAnsi="Times New Roman" w:cs="Times New Roman"/>
          <w:b/>
          <w:i w:val="0"/>
          <w:color w:val="000000" w:themeColor="text1"/>
        </w:rPr>
        <w:fldChar w:fldCharType="begin"/>
      </w:r>
      <w:r w:rsidRPr="00686018">
        <w:rPr>
          <w:rFonts w:ascii="Times New Roman" w:hAnsi="Times New Roman" w:cs="Times New Roman"/>
          <w:b/>
          <w:i w:val="0"/>
          <w:color w:val="000000" w:themeColor="text1"/>
        </w:rPr>
        <w:instrText xml:space="preserve"> SEQ Tabla \* ARABIC </w:instrText>
      </w:r>
      <w:r w:rsidRPr="00686018">
        <w:rPr>
          <w:rFonts w:ascii="Times New Roman" w:hAnsi="Times New Roman" w:cs="Times New Roman"/>
          <w:b/>
          <w:i w:val="0"/>
          <w:color w:val="000000" w:themeColor="text1"/>
        </w:rPr>
        <w:fldChar w:fldCharType="separate"/>
      </w:r>
      <w:r w:rsidR="00973AF5" w:rsidRPr="00686018">
        <w:rPr>
          <w:rFonts w:ascii="Times New Roman" w:hAnsi="Times New Roman" w:cs="Times New Roman"/>
          <w:b/>
          <w:i w:val="0"/>
          <w:noProof/>
          <w:color w:val="000000" w:themeColor="text1"/>
        </w:rPr>
        <w:t>22</w:t>
      </w:r>
      <w:r w:rsidRPr="00686018">
        <w:rPr>
          <w:rFonts w:ascii="Times New Roman" w:hAnsi="Times New Roman" w:cs="Times New Roman"/>
          <w:b/>
          <w:i w:val="0"/>
          <w:color w:val="000000" w:themeColor="text1"/>
        </w:rPr>
        <w:fldChar w:fldCharType="end"/>
      </w:r>
      <w:r w:rsidRPr="00686018">
        <w:rPr>
          <w:rFonts w:ascii="Times New Roman" w:hAnsi="Times New Roman" w:cs="Times New Roman"/>
          <w:i w:val="0"/>
          <w:color w:val="000000" w:themeColor="text1"/>
        </w:rPr>
        <w:t xml:space="preserve">. </w:t>
      </w:r>
      <w:r w:rsidR="003B0A60" w:rsidRPr="003B0A60">
        <w:rPr>
          <w:rFonts w:ascii="Times New Roman" w:hAnsi="Times New Roman" w:cs="Times New Roman"/>
          <w:i w:val="0"/>
          <w:color w:val="000000" w:themeColor="text1"/>
        </w:rPr>
        <w:t xml:space="preserve">Comparación de medias de </w:t>
      </w:r>
      <w:r w:rsidRPr="00686018">
        <w:rPr>
          <w:rFonts w:ascii="Times New Roman" w:hAnsi="Times New Roman" w:cs="Times New Roman"/>
          <w:i w:val="0"/>
          <w:color w:val="000000" w:themeColor="text1"/>
        </w:rPr>
        <w:t>Tukey para diferencias de las medias de RE y TR a una razón I:S – 1:1</w:t>
      </w:r>
      <w:bookmarkEnd w:id="283"/>
    </w:p>
    <w:tbl>
      <w:tblPr>
        <w:tblW w:w="7989" w:type="dxa"/>
        <w:jc w:val="center"/>
        <w:tblCellMar>
          <w:left w:w="70" w:type="dxa"/>
          <w:right w:w="70" w:type="dxa"/>
        </w:tblCellMar>
        <w:tblLook w:val="04A0" w:firstRow="1" w:lastRow="0" w:firstColumn="1" w:lastColumn="0" w:noHBand="0" w:noVBand="1"/>
      </w:tblPr>
      <w:tblGrid>
        <w:gridCol w:w="1498"/>
        <w:gridCol w:w="2396"/>
        <w:gridCol w:w="2297"/>
        <w:gridCol w:w="598"/>
        <w:gridCol w:w="598"/>
        <w:gridCol w:w="602"/>
      </w:tblGrid>
      <w:tr w:rsidR="00270913" w:rsidRPr="00686018" w:rsidTr="007D362B">
        <w:trPr>
          <w:trHeight w:val="282"/>
          <w:jc w:val="center"/>
        </w:trPr>
        <w:tc>
          <w:tcPr>
            <w:tcW w:w="1498" w:type="dxa"/>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RE-TR</w:t>
            </w:r>
          </w:p>
        </w:tc>
        <w:tc>
          <w:tcPr>
            <w:tcW w:w="2396" w:type="dxa"/>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Media </w:t>
            </w:r>
            <w:r w:rsidR="00DD14D0">
              <w:rPr>
                <w:rFonts w:ascii="Times New Roman" w:eastAsia="Times New Roman" w:hAnsi="Times New Roman" w:cs="Times New Roman"/>
                <w:b/>
                <w:bCs/>
                <w:color w:val="000000"/>
                <w:sz w:val="18"/>
                <w:szCs w:val="18"/>
                <w:lang w:eastAsia="es-EC"/>
              </w:rPr>
              <w:t>mL</w:t>
            </w:r>
            <w:r w:rsidRPr="00686018">
              <w:rPr>
                <w:rFonts w:ascii="Times New Roman" w:eastAsia="Times New Roman" w:hAnsi="Times New Roman" w:cs="Times New Roman"/>
                <w:b/>
                <w:bCs/>
                <w:color w:val="000000"/>
                <w:sz w:val="18"/>
                <w:szCs w:val="18"/>
                <w:lang w:eastAsia="es-EC"/>
              </w:rPr>
              <w:t xml:space="preserve"> Biogás/g-SV</w:t>
            </w:r>
          </w:p>
        </w:tc>
        <w:tc>
          <w:tcPr>
            <w:tcW w:w="4095" w:type="dxa"/>
            <w:gridSpan w:val="4"/>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Agrupación</w:t>
            </w: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0:4</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461</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93</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A</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99"/>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3:1</w:t>
            </w:r>
          </w:p>
        </w:tc>
        <w:tc>
          <w:tcPr>
            <w:tcW w:w="2396" w:type="dxa"/>
            <w:tcBorders>
              <w:top w:val="nil"/>
              <w:left w:val="nil"/>
              <w:bottom w:val="nil"/>
              <w:right w:val="nil"/>
            </w:tcBorders>
            <w:shd w:val="clear" w:color="auto" w:fill="auto"/>
            <w:noWrap/>
            <w:vAlign w:val="center"/>
            <w:hideMark/>
          </w:tcPr>
          <w:p w:rsidR="00270913" w:rsidRPr="00686018" w:rsidRDefault="006E5D8C"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425</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49</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1:3</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15</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2:2</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98</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C</w:t>
            </w: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4:0</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364</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04</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D</w:t>
            </w:r>
          </w:p>
        </w:tc>
      </w:tr>
      <w:tr w:rsidR="00270913" w:rsidRPr="00686018" w:rsidTr="007D362B">
        <w:trPr>
          <w:trHeight w:val="282"/>
          <w:jc w:val="center"/>
        </w:trPr>
        <w:tc>
          <w:tcPr>
            <w:tcW w:w="1498" w:type="dxa"/>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RE-TR</w:t>
            </w:r>
          </w:p>
        </w:tc>
        <w:tc>
          <w:tcPr>
            <w:tcW w:w="2396" w:type="dxa"/>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Media </w:t>
            </w:r>
            <w:r w:rsidR="00DD14D0">
              <w:rPr>
                <w:rFonts w:ascii="Times New Roman" w:eastAsia="Times New Roman" w:hAnsi="Times New Roman" w:cs="Times New Roman"/>
                <w:b/>
                <w:bCs/>
                <w:color w:val="000000"/>
                <w:sz w:val="18"/>
                <w:szCs w:val="18"/>
                <w:lang w:eastAsia="es-EC"/>
              </w:rPr>
              <w:t>mL</w:t>
            </w:r>
            <w:r w:rsidRPr="00686018">
              <w:rPr>
                <w:rFonts w:ascii="Times New Roman" w:eastAsia="Times New Roman" w:hAnsi="Times New Roman" w:cs="Times New Roman"/>
                <w:b/>
                <w:bCs/>
                <w:color w:val="000000"/>
                <w:sz w:val="18"/>
                <w:szCs w:val="18"/>
                <w:lang w:eastAsia="es-EC"/>
              </w:rPr>
              <w:t xml:space="preserve"> CH4/g-SV</w:t>
            </w:r>
          </w:p>
        </w:tc>
        <w:tc>
          <w:tcPr>
            <w:tcW w:w="4095" w:type="dxa"/>
            <w:gridSpan w:val="4"/>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Agrupación</w:t>
            </w: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3:1</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271</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69</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A</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0:4</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265</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55</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A</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1:3</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95</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4:0</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239</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05</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2:2</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83</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RE-TR</w:t>
            </w:r>
          </w:p>
        </w:tc>
        <w:tc>
          <w:tcPr>
            <w:tcW w:w="2396" w:type="dxa"/>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Media % CH4</w:t>
            </w:r>
          </w:p>
        </w:tc>
        <w:tc>
          <w:tcPr>
            <w:tcW w:w="4095" w:type="dxa"/>
            <w:gridSpan w:val="4"/>
            <w:tcBorders>
              <w:top w:val="single" w:sz="4" w:space="0" w:color="auto"/>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Agrupación</w:t>
            </w: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4:0</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65</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665</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A</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3:1</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63</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86</w:t>
            </w:r>
            <w:r w:rsidR="004E18E0" w:rsidRPr="00686018">
              <w:rPr>
                <w:rFonts w:ascii="Times New Roman" w:eastAsia="Times New Roman" w:hAnsi="Times New Roman" w:cs="Times New Roman"/>
                <w:color w:val="000000"/>
                <w:sz w:val="18"/>
                <w:szCs w:val="18"/>
                <w:lang w:eastAsia="es-EC"/>
              </w:rPr>
              <w:t>0</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2:2</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489</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r>
      <w:tr w:rsidR="00270913" w:rsidRPr="00686018" w:rsidTr="007D362B">
        <w:trPr>
          <w:trHeight w:val="282"/>
          <w:jc w:val="center"/>
        </w:trPr>
        <w:tc>
          <w:tcPr>
            <w:tcW w:w="14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1:3</w:t>
            </w:r>
          </w:p>
        </w:tc>
        <w:tc>
          <w:tcPr>
            <w:tcW w:w="2396"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58</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723</w:t>
            </w:r>
          </w:p>
        </w:tc>
        <w:tc>
          <w:tcPr>
            <w:tcW w:w="2297"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sz w:val="20"/>
                <w:szCs w:val="20"/>
                <w:lang w:eastAsia="es-EC"/>
              </w:rPr>
            </w:pPr>
          </w:p>
        </w:tc>
        <w:tc>
          <w:tcPr>
            <w:tcW w:w="598"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C</w:t>
            </w:r>
          </w:p>
        </w:tc>
        <w:tc>
          <w:tcPr>
            <w:tcW w:w="601" w:type="dxa"/>
            <w:tcBorders>
              <w:top w:val="nil"/>
              <w:left w:val="nil"/>
              <w:bottom w:val="nil"/>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r>
      <w:tr w:rsidR="00270913" w:rsidRPr="00686018" w:rsidTr="007D362B">
        <w:trPr>
          <w:trHeight w:val="282"/>
          <w:jc w:val="center"/>
        </w:trPr>
        <w:tc>
          <w:tcPr>
            <w:tcW w:w="1498" w:type="dxa"/>
            <w:tcBorders>
              <w:top w:val="nil"/>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0:4</w:t>
            </w:r>
          </w:p>
        </w:tc>
        <w:tc>
          <w:tcPr>
            <w:tcW w:w="2396" w:type="dxa"/>
            <w:tcBorders>
              <w:top w:val="nil"/>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486</w:t>
            </w:r>
          </w:p>
        </w:tc>
        <w:tc>
          <w:tcPr>
            <w:tcW w:w="2297" w:type="dxa"/>
            <w:tcBorders>
              <w:top w:val="nil"/>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c>
          <w:tcPr>
            <w:tcW w:w="598" w:type="dxa"/>
            <w:tcBorders>
              <w:top w:val="nil"/>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C</w:t>
            </w:r>
          </w:p>
        </w:tc>
        <w:tc>
          <w:tcPr>
            <w:tcW w:w="601" w:type="dxa"/>
            <w:tcBorders>
              <w:top w:val="nil"/>
              <w:left w:val="nil"/>
              <w:bottom w:val="single" w:sz="4" w:space="0" w:color="auto"/>
              <w:right w:val="nil"/>
            </w:tcBorders>
            <w:shd w:val="clear" w:color="auto" w:fill="auto"/>
            <w:noWrap/>
            <w:vAlign w:val="center"/>
            <w:hideMark/>
          </w:tcPr>
          <w:p w:rsidR="00270913" w:rsidRPr="00686018" w:rsidRDefault="00270913" w:rsidP="007D362B">
            <w:pPr>
              <w:spacing w:after="0" w:line="240" w:lineRule="auto"/>
              <w:jc w:val="center"/>
              <w:rPr>
                <w:rFonts w:ascii="Times New Roman" w:eastAsia="Times New Roman" w:hAnsi="Times New Roman" w:cs="Times New Roman"/>
                <w:color w:val="000000"/>
                <w:sz w:val="18"/>
                <w:szCs w:val="18"/>
                <w:lang w:eastAsia="es-EC"/>
              </w:rPr>
            </w:pPr>
          </w:p>
        </w:tc>
      </w:tr>
    </w:tbl>
    <w:p w:rsidR="00240A5F" w:rsidRPr="00686018" w:rsidRDefault="00240A5F"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4E18E0" w:rsidRPr="00686018" w:rsidRDefault="001C32EB" w:rsidP="00A31608">
      <w:pPr>
        <w:spacing w:before="360" w:after="360"/>
        <w:jc w:val="both"/>
        <w:rPr>
          <w:rFonts w:ascii="Times New Roman" w:hAnsi="Times New Roman" w:cs="Times New Roman"/>
          <w:sz w:val="24"/>
        </w:rPr>
      </w:pPr>
      <w:r w:rsidRPr="00686018">
        <w:rPr>
          <w:rFonts w:ascii="Times New Roman" w:hAnsi="Times New Roman" w:cs="Times New Roman"/>
          <w:sz w:val="24"/>
        </w:rPr>
        <w:t>La tabla 2</w:t>
      </w:r>
      <w:r w:rsidR="00312966" w:rsidRPr="00686018">
        <w:rPr>
          <w:rFonts w:ascii="Times New Roman" w:hAnsi="Times New Roman" w:cs="Times New Roman"/>
          <w:sz w:val="24"/>
        </w:rPr>
        <w:t>2</w:t>
      </w:r>
      <w:r w:rsidR="00EA43A7" w:rsidRPr="00686018">
        <w:rPr>
          <w:rFonts w:ascii="Times New Roman" w:hAnsi="Times New Roman" w:cs="Times New Roman"/>
          <w:sz w:val="24"/>
        </w:rPr>
        <w:t xml:space="preserve"> muestra que </w:t>
      </w:r>
      <w:r w:rsidR="00B75F57" w:rsidRPr="00686018">
        <w:rPr>
          <w:rFonts w:ascii="Times New Roman" w:hAnsi="Times New Roman" w:cs="Times New Roman"/>
          <w:sz w:val="24"/>
        </w:rPr>
        <w:t>l</w:t>
      </w:r>
      <w:r w:rsidR="004E18E0" w:rsidRPr="00686018">
        <w:rPr>
          <w:rFonts w:ascii="Times New Roman" w:hAnsi="Times New Roman" w:cs="Times New Roman"/>
          <w:sz w:val="24"/>
        </w:rPr>
        <w:t xml:space="preserve">a monodigestión del trigo es 1.3 veces superior a la monodigestión del residuo ruminal, puesto que el trigo tiene más nitrógeno que carbono (C/N=12), el digestor tendría la capacidad de generar más microorganismos, y por lo tanto, más biogás. Cuando el </w:t>
      </w:r>
      <w:r w:rsidR="00993441" w:rsidRPr="00686018">
        <w:rPr>
          <w:rFonts w:ascii="Times New Roman" w:hAnsi="Times New Roman" w:cs="Times New Roman"/>
          <w:sz w:val="24"/>
        </w:rPr>
        <w:t>digestor es cargado con 50% de inó</w:t>
      </w:r>
      <w:r w:rsidR="004E18E0" w:rsidRPr="00686018">
        <w:rPr>
          <w:rFonts w:ascii="Times New Roman" w:hAnsi="Times New Roman" w:cs="Times New Roman"/>
          <w:sz w:val="24"/>
        </w:rPr>
        <w:t>culo la concentración de biogás en monodigestión (RE:TR 0:4) es más alta que en codigestión, sin embargo, la concentración de metano es superior en co</w:t>
      </w:r>
      <w:r w:rsidR="00993441" w:rsidRPr="00686018">
        <w:rPr>
          <w:rFonts w:ascii="Times New Roman" w:hAnsi="Times New Roman" w:cs="Times New Roman"/>
          <w:sz w:val="24"/>
        </w:rPr>
        <w:t xml:space="preserve">digestión </w:t>
      </w:r>
      <w:r w:rsidR="004E18E0" w:rsidRPr="00686018">
        <w:rPr>
          <w:rFonts w:ascii="Times New Roman" w:hAnsi="Times New Roman" w:cs="Times New Roman"/>
          <w:sz w:val="24"/>
        </w:rPr>
        <w:t>(RE:TR 3:1), no existe una relación proporcional entre biogás y met</w:t>
      </w:r>
      <w:r w:rsidR="00993441" w:rsidRPr="00686018">
        <w:rPr>
          <w:rFonts w:ascii="Times New Roman" w:hAnsi="Times New Roman" w:cs="Times New Roman"/>
          <w:sz w:val="24"/>
        </w:rPr>
        <w:t xml:space="preserve">ano, de hecho, el porcentaje de </w:t>
      </w:r>
      <w:r w:rsidR="004E18E0" w:rsidRPr="00686018">
        <w:rPr>
          <w:rFonts w:ascii="Times New Roman" w:hAnsi="Times New Roman" w:cs="Times New Roman"/>
          <w:sz w:val="24"/>
        </w:rPr>
        <w:t>metano aumenta a medida que el digestor es car</w:t>
      </w:r>
      <w:r w:rsidR="00993441" w:rsidRPr="00686018">
        <w:rPr>
          <w:rFonts w:ascii="Times New Roman" w:hAnsi="Times New Roman" w:cs="Times New Roman"/>
          <w:sz w:val="24"/>
        </w:rPr>
        <w:t xml:space="preserve">gado con una mayor cantidad de </w:t>
      </w:r>
      <w:r w:rsidR="004E18E0" w:rsidRPr="00686018">
        <w:rPr>
          <w:rFonts w:ascii="Times New Roman" w:hAnsi="Times New Roman" w:cs="Times New Roman"/>
          <w:sz w:val="24"/>
        </w:rPr>
        <w:t xml:space="preserve">residuo ruminal.  Nuevamente la tendencia es la monodigestión de residuo ruminal con porcentajes más altos de metano.  </w:t>
      </w:r>
    </w:p>
    <w:p w:rsidR="007728DF" w:rsidRPr="00686018" w:rsidRDefault="00E332E8" w:rsidP="00A31608">
      <w:pPr>
        <w:pStyle w:val="Ttulo5"/>
        <w:numPr>
          <w:ilvl w:val="3"/>
          <w:numId w:val="4"/>
        </w:numPr>
        <w:ind w:left="646" w:hanging="646"/>
        <w:jc w:val="both"/>
        <w:rPr>
          <w:rFonts w:ascii="Times New Roman" w:hAnsi="Times New Roman" w:cs="Times New Roman"/>
          <w:i w:val="0"/>
        </w:rPr>
      </w:pPr>
      <w:bookmarkStart w:id="284" w:name="_Toc9537864"/>
      <w:r w:rsidRPr="00686018">
        <w:rPr>
          <w:rFonts w:ascii="Times New Roman" w:hAnsi="Times New Roman" w:cs="Times New Roman"/>
          <w:i w:val="0"/>
        </w:rPr>
        <w:t>ANOVA</w:t>
      </w:r>
      <w:r w:rsidR="00EE6698" w:rsidRPr="00686018">
        <w:rPr>
          <w:rFonts w:ascii="Times New Roman" w:hAnsi="Times New Roman" w:cs="Times New Roman"/>
          <w:i w:val="0"/>
        </w:rPr>
        <w:t xml:space="preserve"> para </w:t>
      </w:r>
      <w:r w:rsidR="00DD14D0">
        <w:rPr>
          <w:rFonts w:ascii="Times New Roman" w:hAnsi="Times New Roman" w:cs="Times New Roman"/>
          <w:i w:val="0"/>
        </w:rPr>
        <w:t>mL</w:t>
      </w:r>
      <w:r w:rsidRPr="00686018">
        <w:rPr>
          <w:rFonts w:ascii="Times New Roman" w:hAnsi="Times New Roman" w:cs="Times New Roman"/>
          <w:i w:val="0"/>
        </w:rPr>
        <w:t xml:space="preserve">Biogás/g-SV, </w:t>
      </w:r>
      <w:r w:rsidR="00DD14D0">
        <w:rPr>
          <w:rFonts w:ascii="Times New Roman" w:hAnsi="Times New Roman" w:cs="Times New Roman"/>
          <w:i w:val="0"/>
        </w:rPr>
        <w:t>mL</w:t>
      </w:r>
      <w:r w:rsidR="000268E7" w:rsidRPr="00686018">
        <w:rPr>
          <w:rFonts w:ascii="Times New Roman" w:hAnsi="Times New Roman" w:cs="Times New Roman"/>
          <w:i w:val="0"/>
        </w:rPr>
        <w:t>CH4/g-SV y %CH4</w:t>
      </w:r>
      <w:r w:rsidR="00EE6698" w:rsidRPr="00686018">
        <w:rPr>
          <w:rFonts w:ascii="Times New Roman" w:hAnsi="Times New Roman" w:cs="Times New Roman"/>
          <w:i w:val="0"/>
        </w:rPr>
        <w:t xml:space="preserve"> a una razón I:S–1:2</w:t>
      </w:r>
      <w:bookmarkEnd w:id="284"/>
    </w:p>
    <w:p w:rsidR="00DF442D" w:rsidRPr="00686018" w:rsidRDefault="00DF442D" w:rsidP="00A31608">
      <w:pPr>
        <w:pStyle w:val="Descripcin"/>
        <w:jc w:val="both"/>
        <w:rPr>
          <w:rFonts w:ascii="Times New Roman" w:hAnsi="Times New Roman" w:cs="Times New Roman"/>
          <w:i w:val="0"/>
          <w:color w:val="auto"/>
        </w:rPr>
      </w:pPr>
      <w:bookmarkStart w:id="285" w:name="_Toc9537926"/>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23</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00E81EFA" w:rsidRPr="00686018">
        <w:rPr>
          <w:rFonts w:ascii="Times New Roman" w:hAnsi="Times New Roman" w:cs="Times New Roman"/>
          <w:i w:val="0"/>
          <w:color w:val="auto"/>
        </w:rPr>
        <w:t xml:space="preserve"> ANOVA para </w:t>
      </w:r>
      <w:r w:rsidR="00DD14D0">
        <w:rPr>
          <w:rFonts w:ascii="Times New Roman" w:hAnsi="Times New Roman" w:cs="Times New Roman"/>
          <w:i w:val="0"/>
          <w:color w:val="auto"/>
        </w:rPr>
        <w:t>mL</w:t>
      </w:r>
      <w:r w:rsidR="00E81EFA" w:rsidRPr="00686018">
        <w:rPr>
          <w:rFonts w:ascii="Times New Roman" w:hAnsi="Times New Roman" w:cs="Times New Roman"/>
          <w:i w:val="0"/>
          <w:color w:val="auto"/>
        </w:rPr>
        <w:t xml:space="preserve"> Biogás/g-SV, </w:t>
      </w:r>
      <w:r w:rsidR="00DD14D0">
        <w:rPr>
          <w:rFonts w:ascii="Times New Roman" w:hAnsi="Times New Roman" w:cs="Times New Roman"/>
          <w:i w:val="0"/>
          <w:color w:val="auto"/>
        </w:rPr>
        <w:t>mL</w:t>
      </w:r>
      <w:r w:rsidRPr="00686018">
        <w:rPr>
          <w:rFonts w:ascii="Times New Roman" w:hAnsi="Times New Roman" w:cs="Times New Roman"/>
          <w:i w:val="0"/>
          <w:color w:val="auto"/>
        </w:rPr>
        <w:t xml:space="preserve"> CH4/g-SV y %CH4 a una razón I:S – 1:2.</w:t>
      </w:r>
      <w:bookmarkEnd w:id="285"/>
    </w:p>
    <w:tbl>
      <w:tblPr>
        <w:tblW w:w="7966" w:type="dxa"/>
        <w:jc w:val="center"/>
        <w:tblCellMar>
          <w:left w:w="70" w:type="dxa"/>
          <w:right w:w="70" w:type="dxa"/>
        </w:tblCellMar>
        <w:tblLook w:val="04A0" w:firstRow="1" w:lastRow="0" w:firstColumn="1" w:lastColumn="0" w:noHBand="0" w:noVBand="1"/>
      </w:tblPr>
      <w:tblGrid>
        <w:gridCol w:w="1887"/>
        <w:gridCol w:w="768"/>
        <w:gridCol w:w="1327"/>
        <w:gridCol w:w="1327"/>
        <w:gridCol w:w="1327"/>
        <w:gridCol w:w="1330"/>
      </w:tblGrid>
      <w:tr w:rsidR="00E81EFA" w:rsidRPr="00686018" w:rsidTr="00711FF6">
        <w:trPr>
          <w:trHeight w:val="258"/>
          <w:jc w:val="center"/>
        </w:trPr>
        <w:tc>
          <w:tcPr>
            <w:tcW w:w="7966" w:type="dxa"/>
            <w:gridSpan w:val="6"/>
            <w:tcBorders>
              <w:top w:val="single" w:sz="4" w:space="0" w:color="auto"/>
              <w:left w:val="nil"/>
              <w:bottom w:val="nil"/>
              <w:right w:val="nil"/>
            </w:tcBorders>
            <w:shd w:val="clear" w:color="auto" w:fill="auto"/>
            <w:noWrap/>
            <w:vAlign w:val="center"/>
            <w:hideMark/>
          </w:tcPr>
          <w:p w:rsidR="00E81EFA" w:rsidRPr="00686018" w:rsidRDefault="00E81EFA" w:rsidP="00A31608">
            <w:pPr>
              <w:spacing w:after="0" w:line="240" w:lineRule="auto"/>
              <w:jc w:val="both"/>
              <w:rPr>
                <w:rFonts w:ascii="Times New Roman" w:eastAsia="Times New Roman" w:hAnsi="Times New Roman" w:cs="Times New Roman"/>
                <w:color w:val="004D72"/>
                <w:sz w:val="18"/>
                <w:szCs w:val="18"/>
                <w:lang w:eastAsia="es-EC"/>
              </w:rPr>
            </w:pPr>
            <w:r w:rsidRPr="00686018">
              <w:rPr>
                <w:rFonts w:ascii="Times New Roman" w:eastAsia="Times New Roman" w:hAnsi="Times New Roman" w:cs="Times New Roman"/>
                <w:bCs/>
                <w:color w:val="004D72"/>
                <w:sz w:val="18"/>
                <w:szCs w:val="18"/>
                <w:lang w:eastAsia="es-EC"/>
              </w:rPr>
              <w:t xml:space="preserve">Análisis de Varianza </w:t>
            </w:r>
            <w:r w:rsidR="00DD14D0">
              <w:rPr>
                <w:rFonts w:ascii="Times New Roman" w:eastAsia="Times New Roman" w:hAnsi="Times New Roman" w:cs="Times New Roman"/>
                <w:bCs/>
                <w:color w:val="004D72"/>
                <w:sz w:val="18"/>
                <w:szCs w:val="18"/>
                <w:lang w:eastAsia="es-EC"/>
              </w:rPr>
              <w:t>mL</w:t>
            </w:r>
            <w:r w:rsidRPr="00686018">
              <w:rPr>
                <w:rFonts w:ascii="Times New Roman" w:eastAsia="Times New Roman" w:hAnsi="Times New Roman" w:cs="Times New Roman"/>
                <w:bCs/>
                <w:color w:val="004D72"/>
                <w:sz w:val="18"/>
                <w:szCs w:val="18"/>
                <w:lang w:eastAsia="es-EC"/>
              </w:rPr>
              <w:t xml:space="preserve"> Biogás/g-SV</w:t>
            </w:r>
          </w:p>
        </w:tc>
      </w:tr>
      <w:tr w:rsidR="00177CC3" w:rsidRPr="00686018" w:rsidTr="00711FF6">
        <w:trPr>
          <w:trHeight w:val="323"/>
          <w:jc w:val="center"/>
        </w:trPr>
        <w:tc>
          <w:tcPr>
            <w:tcW w:w="188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Fuente</w:t>
            </w:r>
          </w:p>
        </w:tc>
        <w:tc>
          <w:tcPr>
            <w:tcW w:w="76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GL</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SC Ajustado</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MC Ajustado</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F</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p</w:t>
            </w:r>
          </w:p>
        </w:tc>
      </w:tr>
      <w:tr w:rsidR="00177CC3" w:rsidRPr="00686018" w:rsidTr="00711FF6">
        <w:trPr>
          <w:trHeight w:val="258"/>
          <w:jc w:val="center"/>
        </w:trPr>
        <w:tc>
          <w:tcPr>
            <w:tcW w:w="188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76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55237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13809</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268</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67</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r>
      <w:tr w:rsidR="00177CC3" w:rsidRPr="00686018" w:rsidTr="00711FF6">
        <w:trPr>
          <w:trHeight w:val="258"/>
          <w:jc w:val="center"/>
        </w:trPr>
        <w:tc>
          <w:tcPr>
            <w:tcW w:w="188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Error</w:t>
            </w:r>
          </w:p>
        </w:tc>
        <w:tc>
          <w:tcPr>
            <w:tcW w:w="76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514</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sz w:val="20"/>
                <w:szCs w:val="20"/>
                <w:lang w:eastAsia="es-EC"/>
              </w:rPr>
            </w:pPr>
          </w:p>
        </w:tc>
      </w:tr>
      <w:tr w:rsidR="00177CC3" w:rsidRPr="00686018" w:rsidTr="00711FF6">
        <w:trPr>
          <w:trHeight w:val="258"/>
          <w:jc w:val="center"/>
        </w:trPr>
        <w:tc>
          <w:tcPr>
            <w:tcW w:w="188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Total</w:t>
            </w:r>
          </w:p>
        </w:tc>
        <w:tc>
          <w:tcPr>
            <w:tcW w:w="76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55751</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sz w:val="20"/>
                <w:szCs w:val="20"/>
                <w:lang w:eastAsia="es-EC"/>
              </w:rPr>
            </w:pP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sz w:val="20"/>
                <w:szCs w:val="20"/>
                <w:lang w:eastAsia="es-EC"/>
              </w:rPr>
            </w:pPr>
          </w:p>
        </w:tc>
      </w:tr>
      <w:tr w:rsidR="00E81EFA" w:rsidRPr="00686018" w:rsidTr="00711FF6">
        <w:trPr>
          <w:trHeight w:val="258"/>
          <w:jc w:val="center"/>
        </w:trPr>
        <w:tc>
          <w:tcPr>
            <w:tcW w:w="7966" w:type="dxa"/>
            <w:gridSpan w:val="6"/>
            <w:tcBorders>
              <w:top w:val="single" w:sz="4" w:space="0" w:color="auto"/>
              <w:left w:val="nil"/>
              <w:bottom w:val="nil"/>
              <w:right w:val="nil"/>
            </w:tcBorders>
            <w:shd w:val="clear" w:color="auto" w:fill="auto"/>
            <w:noWrap/>
            <w:vAlign w:val="center"/>
            <w:hideMark/>
          </w:tcPr>
          <w:p w:rsidR="00E81EFA" w:rsidRPr="00686018" w:rsidRDefault="00E81EFA" w:rsidP="00A31608">
            <w:pPr>
              <w:spacing w:after="0" w:line="240" w:lineRule="auto"/>
              <w:jc w:val="both"/>
              <w:rPr>
                <w:rFonts w:ascii="Times New Roman" w:eastAsia="Times New Roman" w:hAnsi="Times New Roman" w:cs="Times New Roman"/>
                <w:color w:val="004D72"/>
                <w:sz w:val="18"/>
                <w:szCs w:val="18"/>
                <w:lang w:eastAsia="es-EC"/>
              </w:rPr>
            </w:pPr>
            <w:r w:rsidRPr="00686018">
              <w:rPr>
                <w:rFonts w:ascii="Times New Roman" w:eastAsia="Times New Roman" w:hAnsi="Times New Roman" w:cs="Times New Roman"/>
                <w:bCs/>
                <w:color w:val="004D72"/>
                <w:sz w:val="18"/>
                <w:szCs w:val="18"/>
                <w:lang w:eastAsia="es-EC"/>
              </w:rPr>
              <w:t xml:space="preserve">Análisis de Varianza </w:t>
            </w:r>
            <w:r w:rsidR="00DD14D0">
              <w:rPr>
                <w:rFonts w:ascii="Times New Roman" w:eastAsia="Times New Roman" w:hAnsi="Times New Roman" w:cs="Times New Roman"/>
                <w:bCs/>
                <w:color w:val="004D72"/>
                <w:sz w:val="18"/>
                <w:szCs w:val="18"/>
                <w:lang w:eastAsia="es-EC"/>
              </w:rPr>
              <w:t>mL</w:t>
            </w:r>
            <w:r w:rsidRPr="00686018">
              <w:rPr>
                <w:rFonts w:ascii="Times New Roman" w:eastAsia="Times New Roman" w:hAnsi="Times New Roman" w:cs="Times New Roman"/>
                <w:bCs/>
                <w:color w:val="004D72"/>
                <w:sz w:val="18"/>
                <w:szCs w:val="18"/>
                <w:lang w:eastAsia="es-EC"/>
              </w:rPr>
              <w:t xml:space="preserve"> CH4/g-SV</w:t>
            </w:r>
          </w:p>
        </w:tc>
      </w:tr>
      <w:tr w:rsidR="00177CC3" w:rsidRPr="00686018" w:rsidTr="00711FF6">
        <w:trPr>
          <w:trHeight w:val="258"/>
          <w:jc w:val="center"/>
        </w:trPr>
        <w:tc>
          <w:tcPr>
            <w:tcW w:w="188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Fuente</w:t>
            </w:r>
          </w:p>
        </w:tc>
        <w:tc>
          <w:tcPr>
            <w:tcW w:w="76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GL</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SC Ajustado</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MC Ajustado</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F</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p</w:t>
            </w:r>
          </w:p>
        </w:tc>
      </w:tr>
      <w:tr w:rsidR="00177CC3" w:rsidRPr="00686018" w:rsidTr="00711FF6">
        <w:trPr>
          <w:trHeight w:val="258"/>
          <w:jc w:val="center"/>
        </w:trPr>
        <w:tc>
          <w:tcPr>
            <w:tcW w:w="188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76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24052</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6013</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08</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202</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16</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r>
      <w:tr w:rsidR="00177CC3" w:rsidRPr="00686018" w:rsidTr="00711FF6">
        <w:trPr>
          <w:trHeight w:val="258"/>
          <w:jc w:val="center"/>
        </w:trPr>
        <w:tc>
          <w:tcPr>
            <w:tcW w:w="188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Error</w:t>
            </w:r>
          </w:p>
        </w:tc>
        <w:tc>
          <w:tcPr>
            <w:tcW w:w="76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74</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sz w:val="20"/>
                <w:szCs w:val="20"/>
                <w:lang w:eastAsia="es-EC"/>
              </w:rPr>
            </w:pPr>
          </w:p>
        </w:tc>
      </w:tr>
      <w:tr w:rsidR="00177CC3" w:rsidRPr="00686018" w:rsidTr="00711FF6">
        <w:trPr>
          <w:trHeight w:val="323"/>
          <w:jc w:val="center"/>
        </w:trPr>
        <w:tc>
          <w:tcPr>
            <w:tcW w:w="188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lastRenderedPageBreak/>
              <w:t>Total</w:t>
            </w:r>
          </w:p>
        </w:tc>
        <w:tc>
          <w:tcPr>
            <w:tcW w:w="76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24349</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w:t>
            </w: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sz w:val="20"/>
                <w:szCs w:val="20"/>
                <w:lang w:eastAsia="es-EC"/>
              </w:rPr>
            </w:pPr>
          </w:p>
        </w:tc>
        <w:tc>
          <w:tcPr>
            <w:tcW w:w="1327" w:type="dxa"/>
            <w:tcBorders>
              <w:top w:val="nil"/>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sz w:val="20"/>
                <w:szCs w:val="20"/>
                <w:lang w:eastAsia="es-EC"/>
              </w:rPr>
            </w:pPr>
          </w:p>
        </w:tc>
      </w:tr>
      <w:tr w:rsidR="00177CC3" w:rsidRPr="00686018" w:rsidTr="00711FF6">
        <w:trPr>
          <w:trHeight w:val="258"/>
          <w:jc w:val="center"/>
        </w:trPr>
        <w:tc>
          <w:tcPr>
            <w:tcW w:w="2655" w:type="dxa"/>
            <w:gridSpan w:val="2"/>
            <w:tcBorders>
              <w:top w:val="single" w:sz="4" w:space="0" w:color="auto"/>
              <w:left w:val="nil"/>
              <w:bottom w:val="nil"/>
              <w:right w:val="nil"/>
            </w:tcBorders>
            <w:shd w:val="clear" w:color="auto" w:fill="auto"/>
            <w:noWrap/>
            <w:vAlign w:val="center"/>
            <w:hideMark/>
          </w:tcPr>
          <w:p w:rsidR="00177CC3" w:rsidRPr="00686018" w:rsidRDefault="00DF442D" w:rsidP="00A31608">
            <w:pPr>
              <w:spacing w:after="0" w:line="240" w:lineRule="auto"/>
              <w:jc w:val="both"/>
              <w:rPr>
                <w:rFonts w:ascii="Times New Roman" w:eastAsia="Times New Roman" w:hAnsi="Times New Roman" w:cs="Times New Roman"/>
                <w:color w:val="004D72"/>
                <w:sz w:val="18"/>
                <w:szCs w:val="18"/>
                <w:lang w:eastAsia="es-EC"/>
              </w:rPr>
            </w:pPr>
            <w:r w:rsidRPr="00686018">
              <w:rPr>
                <w:rFonts w:ascii="Times New Roman" w:eastAsia="Times New Roman" w:hAnsi="Times New Roman" w:cs="Times New Roman"/>
                <w:bCs/>
                <w:color w:val="004D72"/>
                <w:sz w:val="18"/>
                <w:szCs w:val="18"/>
                <w:lang w:eastAsia="es-EC"/>
              </w:rPr>
              <w:t>Análisis de Varianza % CH4</w:t>
            </w:r>
          </w:p>
        </w:tc>
        <w:tc>
          <w:tcPr>
            <w:tcW w:w="1327" w:type="dxa"/>
            <w:tcBorders>
              <w:top w:val="single" w:sz="4" w:space="0" w:color="auto"/>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c>
          <w:tcPr>
            <w:tcW w:w="1327" w:type="dxa"/>
            <w:tcBorders>
              <w:top w:val="single" w:sz="4" w:space="0" w:color="auto"/>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c>
          <w:tcPr>
            <w:tcW w:w="1327" w:type="dxa"/>
            <w:tcBorders>
              <w:top w:val="single" w:sz="4" w:space="0" w:color="auto"/>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c>
          <w:tcPr>
            <w:tcW w:w="1327" w:type="dxa"/>
            <w:tcBorders>
              <w:top w:val="single" w:sz="4" w:space="0" w:color="auto"/>
              <w:left w:val="nil"/>
              <w:bottom w:val="nil"/>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r>
      <w:tr w:rsidR="00177CC3" w:rsidRPr="00686018" w:rsidTr="00711FF6">
        <w:trPr>
          <w:trHeight w:val="258"/>
          <w:jc w:val="center"/>
        </w:trPr>
        <w:tc>
          <w:tcPr>
            <w:tcW w:w="188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Fuente</w:t>
            </w:r>
          </w:p>
        </w:tc>
        <w:tc>
          <w:tcPr>
            <w:tcW w:w="76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GL</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SC Ajustado</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MC Ajustado</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F</w:t>
            </w:r>
          </w:p>
        </w:tc>
        <w:tc>
          <w:tcPr>
            <w:tcW w:w="1327" w:type="dxa"/>
            <w:tcBorders>
              <w:top w:val="nil"/>
              <w:left w:val="nil"/>
              <w:bottom w:val="single" w:sz="4" w:space="0" w:color="auto"/>
              <w:right w:val="nil"/>
            </w:tcBorders>
            <w:shd w:val="clear" w:color="auto" w:fill="auto"/>
            <w:noWrap/>
            <w:vAlign w:val="bottom"/>
            <w:hideMark/>
          </w:tcPr>
          <w:p w:rsidR="00177CC3" w:rsidRPr="00686018" w:rsidRDefault="00177CC3" w:rsidP="00A31608">
            <w:pPr>
              <w:spacing w:after="0" w:line="240" w:lineRule="auto"/>
              <w:jc w:val="both"/>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Valor p</w:t>
            </w:r>
          </w:p>
        </w:tc>
      </w:tr>
      <w:tr w:rsidR="00177CC3" w:rsidRPr="00686018" w:rsidTr="00711FF6">
        <w:trPr>
          <w:trHeight w:val="258"/>
          <w:jc w:val="center"/>
        </w:trPr>
        <w:tc>
          <w:tcPr>
            <w:tcW w:w="188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w:t>
            </w:r>
          </w:p>
        </w:tc>
        <w:tc>
          <w:tcPr>
            <w:tcW w:w="76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132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882</w:t>
            </w:r>
          </w:p>
        </w:tc>
        <w:tc>
          <w:tcPr>
            <w:tcW w:w="132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7206</w:t>
            </w:r>
          </w:p>
        </w:tc>
        <w:tc>
          <w:tcPr>
            <w:tcW w:w="132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59</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96</w:t>
            </w:r>
          </w:p>
        </w:tc>
        <w:tc>
          <w:tcPr>
            <w:tcW w:w="132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000</w:t>
            </w:r>
          </w:p>
        </w:tc>
      </w:tr>
      <w:tr w:rsidR="00177CC3" w:rsidRPr="00686018" w:rsidTr="00711FF6">
        <w:trPr>
          <w:trHeight w:val="258"/>
          <w:jc w:val="center"/>
        </w:trPr>
        <w:tc>
          <w:tcPr>
            <w:tcW w:w="188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Error</w:t>
            </w:r>
          </w:p>
        </w:tc>
        <w:tc>
          <w:tcPr>
            <w:tcW w:w="76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132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959</w:t>
            </w:r>
          </w:p>
        </w:tc>
        <w:tc>
          <w:tcPr>
            <w:tcW w:w="132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7959</w:t>
            </w:r>
          </w:p>
        </w:tc>
        <w:tc>
          <w:tcPr>
            <w:tcW w:w="132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p>
        </w:tc>
        <w:tc>
          <w:tcPr>
            <w:tcW w:w="1327" w:type="dxa"/>
            <w:tcBorders>
              <w:top w:val="nil"/>
              <w:left w:val="nil"/>
              <w:bottom w:val="nil"/>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sz w:val="20"/>
                <w:szCs w:val="20"/>
                <w:lang w:eastAsia="es-EC"/>
              </w:rPr>
            </w:pPr>
          </w:p>
        </w:tc>
      </w:tr>
      <w:tr w:rsidR="00177CC3" w:rsidRPr="00686018" w:rsidTr="00711FF6">
        <w:trPr>
          <w:trHeight w:val="258"/>
          <w:jc w:val="center"/>
        </w:trPr>
        <w:tc>
          <w:tcPr>
            <w:tcW w:w="1887" w:type="dxa"/>
            <w:tcBorders>
              <w:top w:val="nil"/>
              <w:left w:val="nil"/>
              <w:bottom w:val="single" w:sz="4" w:space="0" w:color="auto"/>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Total</w:t>
            </w:r>
          </w:p>
        </w:tc>
        <w:tc>
          <w:tcPr>
            <w:tcW w:w="767" w:type="dxa"/>
            <w:tcBorders>
              <w:top w:val="nil"/>
              <w:left w:val="nil"/>
              <w:bottom w:val="single" w:sz="4" w:space="0" w:color="auto"/>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1327" w:type="dxa"/>
            <w:tcBorders>
              <w:top w:val="nil"/>
              <w:left w:val="nil"/>
              <w:bottom w:val="single" w:sz="4" w:space="0" w:color="auto"/>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198</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842</w:t>
            </w:r>
          </w:p>
        </w:tc>
        <w:tc>
          <w:tcPr>
            <w:tcW w:w="1327" w:type="dxa"/>
            <w:tcBorders>
              <w:top w:val="nil"/>
              <w:left w:val="nil"/>
              <w:bottom w:val="single" w:sz="4" w:space="0" w:color="auto"/>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c>
          <w:tcPr>
            <w:tcW w:w="1327" w:type="dxa"/>
            <w:tcBorders>
              <w:top w:val="nil"/>
              <w:left w:val="nil"/>
              <w:bottom w:val="single" w:sz="4" w:space="0" w:color="auto"/>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c>
          <w:tcPr>
            <w:tcW w:w="1327" w:type="dxa"/>
            <w:tcBorders>
              <w:top w:val="nil"/>
              <w:left w:val="nil"/>
              <w:bottom w:val="single" w:sz="4" w:space="0" w:color="auto"/>
              <w:right w:val="nil"/>
            </w:tcBorders>
            <w:shd w:val="clear" w:color="auto" w:fill="auto"/>
            <w:noWrap/>
            <w:hideMark/>
          </w:tcPr>
          <w:p w:rsidR="00177CC3" w:rsidRPr="00686018" w:rsidRDefault="00177CC3" w:rsidP="00A31608">
            <w:pPr>
              <w:spacing w:after="0" w:line="240" w:lineRule="auto"/>
              <w:jc w:val="both"/>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 </w:t>
            </w:r>
          </w:p>
        </w:tc>
      </w:tr>
    </w:tbl>
    <w:p w:rsidR="00DF442D" w:rsidRPr="00686018" w:rsidRDefault="00DF442D"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DF442D" w:rsidRPr="00686018" w:rsidRDefault="00B75F57" w:rsidP="00A31608">
      <w:pPr>
        <w:spacing w:before="360" w:after="360"/>
        <w:jc w:val="both"/>
        <w:rPr>
          <w:rFonts w:ascii="Times New Roman" w:hAnsi="Times New Roman" w:cs="Times New Roman"/>
          <w:sz w:val="24"/>
        </w:rPr>
      </w:pPr>
      <w:r w:rsidRPr="00686018">
        <w:rPr>
          <w:rFonts w:ascii="Times New Roman" w:hAnsi="Times New Roman" w:cs="Times New Roman"/>
          <w:sz w:val="24"/>
        </w:rPr>
        <w:t>El valor-</w:t>
      </w:r>
      <w:r w:rsidR="00E81EFA" w:rsidRPr="00686018">
        <w:rPr>
          <w:rFonts w:ascii="Times New Roman" w:hAnsi="Times New Roman" w:cs="Times New Roman"/>
          <w:sz w:val="24"/>
        </w:rPr>
        <w:t>P de la prueba-F es menor que 0.</w:t>
      </w:r>
      <w:r w:rsidRPr="00686018">
        <w:rPr>
          <w:rFonts w:ascii="Times New Roman" w:hAnsi="Times New Roman" w:cs="Times New Roman"/>
          <w:sz w:val="24"/>
        </w:rPr>
        <w:t>05, existe una diferencia estadísticamente si</w:t>
      </w:r>
      <w:r w:rsidR="00E81EFA" w:rsidRPr="00686018">
        <w:rPr>
          <w:rFonts w:ascii="Times New Roman" w:hAnsi="Times New Roman" w:cs="Times New Roman"/>
          <w:sz w:val="24"/>
        </w:rPr>
        <w:t xml:space="preserve">gnificativa entre la media de </w:t>
      </w:r>
      <w:r w:rsidR="00DD14D0">
        <w:rPr>
          <w:rFonts w:ascii="Times New Roman" w:hAnsi="Times New Roman" w:cs="Times New Roman"/>
          <w:sz w:val="24"/>
        </w:rPr>
        <w:t>mL</w:t>
      </w:r>
      <w:r w:rsidR="00E81EFA" w:rsidRPr="00686018">
        <w:rPr>
          <w:rFonts w:ascii="Times New Roman" w:hAnsi="Times New Roman" w:cs="Times New Roman"/>
          <w:sz w:val="24"/>
        </w:rPr>
        <w:t xml:space="preserve">biogás/g-SV, </w:t>
      </w:r>
      <w:r w:rsidR="00DD14D0">
        <w:rPr>
          <w:rFonts w:ascii="Times New Roman" w:hAnsi="Times New Roman" w:cs="Times New Roman"/>
          <w:sz w:val="24"/>
        </w:rPr>
        <w:t>mL</w:t>
      </w:r>
      <w:r w:rsidRPr="00686018">
        <w:rPr>
          <w:rFonts w:ascii="Times New Roman" w:hAnsi="Times New Roman" w:cs="Times New Roman"/>
          <w:sz w:val="24"/>
        </w:rPr>
        <w:t>CH</w:t>
      </w:r>
      <w:r w:rsidRPr="00686018">
        <w:rPr>
          <w:rFonts w:ascii="Times New Roman" w:hAnsi="Times New Roman" w:cs="Times New Roman"/>
          <w:sz w:val="24"/>
          <w:vertAlign w:val="subscript"/>
        </w:rPr>
        <w:t>4</w:t>
      </w:r>
      <w:r w:rsidRPr="00686018">
        <w:rPr>
          <w:rFonts w:ascii="Times New Roman" w:hAnsi="Times New Roman" w:cs="Times New Roman"/>
          <w:sz w:val="24"/>
        </w:rPr>
        <w:t>/g-SV y %CH</w:t>
      </w:r>
      <w:r w:rsidRPr="00686018">
        <w:rPr>
          <w:rFonts w:ascii="Times New Roman" w:hAnsi="Times New Roman" w:cs="Times New Roman"/>
          <w:sz w:val="24"/>
          <w:vertAlign w:val="subscript"/>
        </w:rPr>
        <w:t>4</w:t>
      </w:r>
      <w:r w:rsidRPr="00686018">
        <w:rPr>
          <w:rFonts w:ascii="Times New Roman" w:hAnsi="Times New Roman" w:cs="Times New Roman"/>
          <w:sz w:val="24"/>
        </w:rPr>
        <w:t xml:space="preserve"> entre un nivel de RE-TR y otro; se rechaza la hipótesis nula y se concluye que los tratamientos difieren respecto a la cantidad de biogás, CH</w:t>
      </w:r>
      <w:r w:rsidRPr="00686018">
        <w:rPr>
          <w:rFonts w:ascii="Times New Roman" w:hAnsi="Times New Roman" w:cs="Times New Roman"/>
          <w:sz w:val="24"/>
          <w:vertAlign w:val="subscript"/>
        </w:rPr>
        <w:t>4</w:t>
      </w:r>
      <w:r w:rsidRPr="00686018">
        <w:rPr>
          <w:rFonts w:ascii="Times New Roman" w:hAnsi="Times New Roman" w:cs="Times New Roman"/>
          <w:sz w:val="24"/>
        </w:rPr>
        <w:t xml:space="preserve"> y %CH</w:t>
      </w:r>
      <w:r w:rsidRPr="00686018">
        <w:rPr>
          <w:rFonts w:ascii="Times New Roman" w:hAnsi="Times New Roman" w:cs="Times New Roman"/>
          <w:sz w:val="24"/>
          <w:vertAlign w:val="subscript"/>
        </w:rPr>
        <w:t>4</w:t>
      </w:r>
      <w:r w:rsidRPr="00686018">
        <w:rPr>
          <w:rFonts w:ascii="Times New Roman" w:hAnsi="Times New Roman" w:cs="Times New Roman"/>
          <w:sz w:val="24"/>
        </w:rPr>
        <w:t xml:space="preserve"> generado a los 40 días de digestión. Para identificar la diferencia entre los tratamientos se determinó la</w:t>
      </w:r>
      <w:r w:rsidR="007B1AB6" w:rsidRPr="00686018">
        <w:rPr>
          <w:rFonts w:ascii="Times New Roman" w:hAnsi="Times New Roman" w:cs="Times New Roman"/>
          <w:sz w:val="24"/>
        </w:rPr>
        <w:t xml:space="preserve"> </w:t>
      </w:r>
      <w:r w:rsidRPr="00686018">
        <w:rPr>
          <w:rFonts w:ascii="Times New Roman" w:hAnsi="Times New Roman" w:cs="Times New Roman"/>
          <w:sz w:val="24"/>
        </w:rPr>
        <w:t>comparación de rangos Múltiples de Tukey HSD mostrada a continuación.</w:t>
      </w:r>
    </w:p>
    <w:p w:rsidR="00177CC3" w:rsidRPr="00686018" w:rsidRDefault="00DF442D" w:rsidP="00A31608">
      <w:pPr>
        <w:pStyle w:val="Descripcin"/>
        <w:jc w:val="both"/>
        <w:rPr>
          <w:rFonts w:ascii="Times New Roman" w:hAnsi="Times New Roman" w:cs="Times New Roman"/>
          <w:i w:val="0"/>
          <w:color w:val="auto"/>
        </w:rPr>
      </w:pPr>
      <w:bookmarkStart w:id="286" w:name="_Toc9537927"/>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00973AF5" w:rsidRPr="00686018">
        <w:rPr>
          <w:rFonts w:ascii="Times New Roman" w:hAnsi="Times New Roman" w:cs="Times New Roman"/>
          <w:b/>
          <w:i w:val="0"/>
          <w:noProof/>
          <w:color w:val="auto"/>
        </w:rPr>
        <w:t>24</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w:t>
      </w:r>
      <w:r w:rsidR="003B0A60" w:rsidRPr="003B0A60">
        <w:rPr>
          <w:rFonts w:ascii="Times New Roman" w:hAnsi="Times New Roman" w:cs="Times New Roman"/>
          <w:i w:val="0"/>
          <w:color w:val="auto"/>
        </w:rPr>
        <w:t>Comparación de medias de</w:t>
      </w:r>
      <w:r w:rsidRPr="003B0A60">
        <w:rPr>
          <w:rFonts w:ascii="Times New Roman" w:hAnsi="Times New Roman" w:cs="Times New Roman"/>
          <w:i w:val="0"/>
          <w:color w:val="auto"/>
        </w:rPr>
        <w:t xml:space="preserve"> </w:t>
      </w:r>
      <w:r w:rsidRPr="00686018">
        <w:rPr>
          <w:rFonts w:ascii="Times New Roman" w:hAnsi="Times New Roman" w:cs="Times New Roman"/>
          <w:i w:val="0"/>
          <w:color w:val="auto"/>
        </w:rPr>
        <w:t>Tukey para diferencias de las medias de RE y TR a una razón I:S – 1:2.</w:t>
      </w:r>
      <w:bookmarkEnd w:id="286"/>
    </w:p>
    <w:tbl>
      <w:tblPr>
        <w:tblW w:w="7971" w:type="dxa"/>
        <w:jc w:val="center"/>
        <w:tblCellMar>
          <w:left w:w="70" w:type="dxa"/>
          <w:right w:w="70" w:type="dxa"/>
        </w:tblCellMar>
        <w:tblLook w:val="04A0" w:firstRow="1" w:lastRow="0" w:firstColumn="1" w:lastColumn="0" w:noHBand="0" w:noVBand="1"/>
      </w:tblPr>
      <w:tblGrid>
        <w:gridCol w:w="1797"/>
        <w:gridCol w:w="2877"/>
        <w:gridCol w:w="675"/>
        <w:gridCol w:w="649"/>
        <w:gridCol w:w="649"/>
        <w:gridCol w:w="715"/>
        <w:gridCol w:w="609"/>
      </w:tblGrid>
      <w:tr w:rsidR="00177CC3" w:rsidRPr="00686018" w:rsidTr="007D362B">
        <w:trPr>
          <w:trHeight w:val="313"/>
          <w:jc w:val="center"/>
        </w:trPr>
        <w:tc>
          <w:tcPr>
            <w:tcW w:w="1797" w:type="dxa"/>
            <w:tcBorders>
              <w:top w:val="single" w:sz="4" w:space="0" w:color="auto"/>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RE-TR</w:t>
            </w:r>
          </w:p>
        </w:tc>
        <w:tc>
          <w:tcPr>
            <w:tcW w:w="2877" w:type="dxa"/>
            <w:tcBorders>
              <w:top w:val="single" w:sz="4" w:space="0" w:color="auto"/>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Media </w:t>
            </w:r>
            <w:r w:rsidR="00DD14D0">
              <w:rPr>
                <w:rFonts w:ascii="Times New Roman" w:eastAsia="Times New Roman" w:hAnsi="Times New Roman" w:cs="Times New Roman"/>
                <w:b/>
                <w:bCs/>
                <w:color w:val="000000"/>
                <w:sz w:val="18"/>
                <w:szCs w:val="18"/>
                <w:lang w:eastAsia="es-EC"/>
              </w:rPr>
              <w:t>mL</w:t>
            </w:r>
            <w:r w:rsidRPr="00686018">
              <w:rPr>
                <w:rFonts w:ascii="Times New Roman" w:eastAsia="Times New Roman" w:hAnsi="Times New Roman" w:cs="Times New Roman"/>
                <w:b/>
                <w:bCs/>
                <w:color w:val="000000"/>
                <w:sz w:val="18"/>
                <w:szCs w:val="18"/>
                <w:lang w:eastAsia="es-EC"/>
              </w:rPr>
              <w:t xml:space="preserve"> Biogás/g-SV</w:t>
            </w:r>
          </w:p>
        </w:tc>
        <w:tc>
          <w:tcPr>
            <w:tcW w:w="3297" w:type="dxa"/>
            <w:gridSpan w:val="5"/>
            <w:tcBorders>
              <w:top w:val="single" w:sz="4" w:space="0" w:color="auto"/>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Agrupación</w:t>
            </w: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3:1</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504</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14</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A</w:t>
            </w: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2:2</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4</w:t>
            </w:r>
            <w:r w:rsidR="007B1AB6" w:rsidRPr="00686018">
              <w:rPr>
                <w:rFonts w:ascii="Times New Roman" w:eastAsia="Times New Roman" w:hAnsi="Times New Roman" w:cs="Times New Roman"/>
                <w:color w:val="000000"/>
                <w:sz w:val="18"/>
                <w:szCs w:val="18"/>
                <w:lang w:eastAsia="es-EC"/>
              </w:rPr>
              <w:t>0</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1:3</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413</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91</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C</w:t>
            </w: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4:0</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376</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95</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D</w:t>
            </w: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0:4</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329</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96</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E</w:t>
            </w:r>
          </w:p>
        </w:tc>
      </w:tr>
      <w:tr w:rsidR="00177CC3" w:rsidRPr="00686018" w:rsidTr="007D362B">
        <w:trPr>
          <w:trHeight w:val="251"/>
          <w:jc w:val="center"/>
        </w:trPr>
        <w:tc>
          <w:tcPr>
            <w:tcW w:w="1797" w:type="dxa"/>
            <w:tcBorders>
              <w:top w:val="single" w:sz="4" w:space="0" w:color="auto"/>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RE-TR</w:t>
            </w:r>
          </w:p>
        </w:tc>
        <w:tc>
          <w:tcPr>
            <w:tcW w:w="2877" w:type="dxa"/>
            <w:tcBorders>
              <w:top w:val="single" w:sz="4" w:space="0" w:color="auto"/>
              <w:left w:val="nil"/>
              <w:bottom w:val="single" w:sz="4" w:space="0" w:color="auto"/>
              <w:right w:val="nil"/>
            </w:tcBorders>
            <w:shd w:val="clear" w:color="auto" w:fill="auto"/>
            <w:noWrap/>
            <w:vAlign w:val="center"/>
            <w:hideMark/>
          </w:tcPr>
          <w:p w:rsidR="00177CC3" w:rsidRPr="00686018" w:rsidRDefault="00E81EFA"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Media </w:t>
            </w:r>
            <w:r w:rsidR="00DD14D0">
              <w:rPr>
                <w:rFonts w:ascii="Times New Roman" w:eastAsia="Times New Roman" w:hAnsi="Times New Roman" w:cs="Times New Roman"/>
                <w:b/>
                <w:bCs/>
                <w:color w:val="000000"/>
                <w:sz w:val="18"/>
                <w:szCs w:val="18"/>
                <w:lang w:eastAsia="es-EC"/>
              </w:rPr>
              <w:t>mL</w:t>
            </w:r>
            <w:r w:rsidR="00177CC3" w:rsidRPr="00686018">
              <w:rPr>
                <w:rFonts w:ascii="Times New Roman" w:eastAsia="Times New Roman" w:hAnsi="Times New Roman" w:cs="Times New Roman"/>
                <w:b/>
                <w:bCs/>
                <w:color w:val="000000"/>
                <w:sz w:val="18"/>
                <w:szCs w:val="18"/>
                <w:lang w:eastAsia="es-EC"/>
              </w:rPr>
              <w:t xml:space="preserve"> CH4/g-SV</w:t>
            </w:r>
          </w:p>
        </w:tc>
        <w:tc>
          <w:tcPr>
            <w:tcW w:w="3297" w:type="dxa"/>
            <w:gridSpan w:val="5"/>
            <w:tcBorders>
              <w:top w:val="single" w:sz="4" w:space="0" w:color="auto"/>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Agrupación</w:t>
            </w: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DE305D"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3:1</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33</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A</w:t>
            </w: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313"/>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2:2</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37</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4:0</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234</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18</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C</w:t>
            </w: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1:3</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230</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08</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C</w:t>
            </w: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0:4</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168</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39</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D</w:t>
            </w: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r>
      <w:tr w:rsidR="00177CC3" w:rsidRPr="00686018" w:rsidTr="007D362B">
        <w:trPr>
          <w:trHeight w:val="251"/>
          <w:jc w:val="center"/>
        </w:trPr>
        <w:tc>
          <w:tcPr>
            <w:tcW w:w="1797" w:type="dxa"/>
            <w:tcBorders>
              <w:top w:val="single" w:sz="4" w:space="0" w:color="auto"/>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RE-TR</w:t>
            </w:r>
          </w:p>
        </w:tc>
        <w:tc>
          <w:tcPr>
            <w:tcW w:w="2877" w:type="dxa"/>
            <w:tcBorders>
              <w:top w:val="single" w:sz="4" w:space="0" w:color="auto"/>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Media % CH4</w:t>
            </w:r>
          </w:p>
        </w:tc>
        <w:tc>
          <w:tcPr>
            <w:tcW w:w="3297" w:type="dxa"/>
            <w:gridSpan w:val="5"/>
            <w:tcBorders>
              <w:top w:val="single" w:sz="4" w:space="0" w:color="auto"/>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Agrupación</w:t>
            </w: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4:0</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12</w:t>
            </w:r>
            <w:r w:rsidR="007B1AB6" w:rsidRPr="00686018">
              <w:rPr>
                <w:rFonts w:ascii="Times New Roman" w:eastAsia="Times New Roman" w:hAnsi="Times New Roman" w:cs="Times New Roman"/>
                <w:color w:val="000000"/>
                <w:sz w:val="18"/>
                <w:szCs w:val="18"/>
                <w:lang w:eastAsia="es-EC"/>
              </w:rPr>
              <w:t>0</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A</w:t>
            </w: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3:1</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596</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313"/>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2:2</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27</w:t>
            </w:r>
            <w:r w:rsidR="007B1AB6" w:rsidRPr="00686018">
              <w:rPr>
                <w:rFonts w:ascii="Times New Roman" w:eastAsia="Times New Roman" w:hAnsi="Times New Roman" w:cs="Times New Roman"/>
                <w:color w:val="000000"/>
                <w:sz w:val="18"/>
                <w:szCs w:val="18"/>
                <w:lang w:eastAsia="es-EC"/>
              </w:rPr>
              <w:t>0</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1:3</w:t>
            </w:r>
          </w:p>
        </w:tc>
        <w:tc>
          <w:tcPr>
            <w:tcW w:w="287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593</w:t>
            </w:r>
          </w:p>
        </w:tc>
        <w:tc>
          <w:tcPr>
            <w:tcW w:w="67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B</w:t>
            </w:r>
          </w:p>
        </w:tc>
        <w:tc>
          <w:tcPr>
            <w:tcW w:w="649"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715"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c>
          <w:tcPr>
            <w:tcW w:w="607" w:type="dxa"/>
            <w:tcBorders>
              <w:top w:val="nil"/>
              <w:left w:val="nil"/>
              <w:bottom w:val="nil"/>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sz w:val="20"/>
                <w:szCs w:val="20"/>
                <w:lang w:eastAsia="es-EC"/>
              </w:rPr>
            </w:pPr>
          </w:p>
        </w:tc>
      </w:tr>
      <w:tr w:rsidR="00177CC3" w:rsidRPr="00686018" w:rsidTr="007D362B">
        <w:trPr>
          <w:trHeight w:val="251"/>
          <w:jc w:val="center"/>
        </w:trPr>
        <w:tc>
          <w:tcPr>
            <w:tcW w:w="1797" w:type="dxa"/>
            <w:tcBorders>
              <w:top w:val="nil"/>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RE:TR 0:4</w:t>
            </w:r>
          </w:p>
        </w:tc>
        <w:tc>
          <w:tcPr>
            <w:tcW w:w="2877" w:type="dxa"/>
            <w:tcBorders>
              <w:top w:val="nil"/>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w:t>
            </w:r>
            <w:r w:rsidR="00E81EFA" w:rsidRPr="00686018">
              <w:rPr>
                <w:rFonts w:ascii="Times New Roman" w:eastAsia="Times New Roman" w:hAnsi="Times New Roman" w:cs="Times New Roman"/>
                <w:color w:val="000000"/>
                <w:sz w:val="18"/>
                <w:szCs w:val="18"/>
                <w:lang w:eastAsia="es-EC"/>
              </w:rPr>
              <w:t>.</w:t>
            </w:r>
            <w:r w:rsidRPr="00686018">
              <w:rPr>
                <w:rFonts w:ascii="Times New Roman" w:eastAsia="Times New Roman" w:hAnsi="Times New Roman" w:cs="Times New Roman"/>
                <w:color w:val="000000"/>
                <w:sz w:val="18"/>
                <w:szCs w:val="18"/>
                <w:lang w:eastAsia="es-EC"/>
              </w:rPr>
              <w:t>025</w:t>
            </w:r>
          </w:p>
        </w:tc>
        <w:tc>
          <w:tcPr>
            <w:tcW w:w="675" w:type="dxa"/>
            <w:tcBorders>
              <w:top w:val="nil"/>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49" w:type="dxa"/>
            <w:tcBorders>
              <w:top w:val="nil"/>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C</w:t>
            </w:r>
          </w:p>
        </w:tc>
        <w:tc>
          <w:tcPr>
            <w:tcW w:w="715" w:type="dxa"/>
            <w:tcBorders>
              <w:top w:val="nil"/>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c>
          <w:tcPr>
            <w:tcW w:w="607" w:type="dxa"/>
            <w:tcBorders>
              <w:top w:val="nil"/>
              <w:left w:val="nil"/>
              <w:bottom w:val="single" w:sz="4" w:space="0" w:color="auto"/>
              <w:right w:val="nil"/>
            </w:tcBorders>
            <w:shd w:val="clear" w:color="auto" w:fill="auto"/>
            <w:noWrap/>
            <w:vAlign w:val="center"/>
            <w:hideMark/>
          </w:tcPr>
          <w:p w:rsidR="00177CC3" w:rsidRPr="00686018" w:rsidRDefault="00177CC3" w:rsidP="007D362B">
            <w:pPr>
              <w:spacing w:after="0" w:line="240" w:lineRule="auto"/>
              <w:jc w:val="center"/>
              <w:rPr>
                <w:rFonts w:ascii="Times New Roman" w:eastAsia="Times New Roman" w:hAnsi="Times New Roman" w:cs="Times New Roman"/>
                <w:color w:val="000000"/>
                <w:sz w:val="18"/>
                <w:szCs w:val="18"/>
                <w:lang w:eastAsia="es-EC"/>
              </w:rPr>
            </w:pPr>
          </w:p>
        </w:tc>
      </w:tr>
    </w:tbl>
    <w:p w:rsidR="00DF442D" w:rsidRPr="00686018" w:rsidRDefault="00DF442D" w:rsidP="00A31608">
      <w:pPr>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973AF5" w:rsidRPr="00686018" w:rsidRDefault="0095699E" w:rsidP="00A31608">
      <w:pPr>
        <w:spacing w:before="360" w:after="360"/>
        <w:jc w:val="both"/>
        <w:rPr>
          <w:rFonts w:ascii="Times New Roman" w:hAnsi="Times New Roman" w:cs="Times New Roman"/>
          <w:sz w:val="24"/>
        </w:rPr>
      </w:pPr>
      <w:r w:rsidRPr="00686018">
        <w:rPr>
          <w:rFonts w:ascii="Times New Roman" w:hAnsi="Times New Roman" w:cs="Times New Roman"/>
          <w:sz w:val="24"/>
        </w:rPr>
        <w:t>Los tratamientos muestran diferencias muy significativas, al reducir la cantidad de inócul</w:t>
      </w:r>
      <w:r w:rsidR="00E81EFA" w:rsidRPr="00686018">
        <w:rPr>
          <w:rFonts w:ascii="Times New Roman" w:hAnsi="Times New Roman" w:cs="Times New Roman"/>
          <w:sz w:val="24"/>
        </w:rPr>
        <w:t>o a un 33.</w:t>
      </w:r>
      <w:r w:rsidRPr="00686018">
        <w:rPr>
          <w:rFonts w:ascii="Times New Roman" w:hAnsi="Times New Roman" w:cs="Times New Roman"/>
          <w:sz w:val="24"/>
        </w:rPr>
        <w:t xml:space="preserve">33%, la codigestión </w:t>
      </w:r>
      <w:r w:rsidR="00DE305D" w:rsidRPr="00686018">
        <w:rPr>
          <w:rFonts w:ascii="Times New Roman" w:hAnsi="Times New Roman" w:cs="Times New Roman"/>
          <w:sz w:val="24"/>
        </w:rPr>
        <w:t>(</w:t>
      </w:r>
      <w:r w:rsidR="00E81EFA" w:rsidRPr="00686018">
        <w:rPr>
          <w:rFonts w:ascii="Times New Roman" w:eastAsia="Times New Roman" w:hAnsi="Times New Roman" w:cs="Times New Roman"/>
          <w:color w:val="000000"/>
          <w:sz w:val="24"/>
          <w:lang w:eastAsia="es-EC"/>
        </w:rPr>
        <w:t>RE:TR 3:1, 504.</w:t>
      </w:r>
      <w:r w:rsidR="00462B8A">
        <w:rPr>
          <w:rFonts w:ascii="Times New Roman" w:eastAsia="Times New Roman" w:hAnsi="Times New Roman" w:cs="Times New Roman"/>
          <w:color w:val="000000"/>
          <w:sz w:val="24"/>
          <w:lang w:eastAsia="es-EC"/>
        </w:rPr>
        <w:t>14</w:t>
      </w:r>
      <w:r w:rsidR="00DD14D0">
        <w:rPr>
          <w:rFonts w:ascii="Times New Roman" w:eastAsia="Times New Roman" w:hAnsi="Times New Roman" w:cs="Times New Roman"/>
          <w:color w:val="000000"/>
          <w:sz w:val="24"/>
          <w:lang w:eastAsia="es-EC"/>
        </w:rPr>
        <w:t>mL</w:t>
      </w:r>
      <w:r w:rsidR="00DE305D" w:rsidRPr="00686018">
        <w:rPr>
          <w:rFonts w:ascii="Times New Roman" w:eastAsia="Times New Roman" w:hAnsi="Times New Roman" w:cs="Times New Roman"/>
          <w:color w:val="000000"/>
          <w:sz w:val="24"/>
          <w:lang w:eastAsia="es-EC"/>
        </w:rPr>
        <w:t>/g-SV)</w:t>
      </w:r>
      <w:r w:rsidR="00DE305D" w:rsidRPr="00686018">
        <w:rPr>
          <w:rFonts w:ascii="Times New Roman" w:eastAsia="Times New Roman" w:hAnsi="Times New Roman" w:cs="Times New Roman"/>
          <w:color w:val="000000"/>
          <w:sz w:val="20"/>
          <w:szCs w:val="18"/>
          <w:lang w:eastAsia="es-EC"/>
        </w:rPr>
        <w:t xml:space="preserve"> </w:t>
      </w:r>
      <w:r w:rsidRPr="00686018">
        <w:rPr>
          <w:rFonts w:ascii="Times New Roman" w:hAnsi="Times New Roman" w:cs="Times New Roman"/>
          <w:sz w:val="24"/>
        </w:rPr>
        <w:t>presento concentraciones de biogás más altas en promedio. Una tendencia similar ocurrió con la concentración de meta</w:t>
      </w:r>
      <w:r w:rsidR="00E81EFA" w:rsidRPr="00686018">
        <w:rPr>
          <w:rFonts w:ascii="Times New Roman" w:hAnsi="Times New Roman" w:cs="Times New Roman"/>
          <w:sz w:val="24"/>
        </w:rPr>
        <w:t>no (RE:TR 3:1, 290.</w:t>
      </w:r>
      <w:r w:rsidR="00DE305D" w:rsidRPr="00686018">
        <w:rPr>
          <w:rFonts w:ascii="Times New Roman" w:hAnsi="Times New Roman" w:cs="Times New Roman"/>
          <w:sz w:val="24"/>
        </w:rPr>
        <w:t>33</w:t>
      </w:r>
      <w:r w:rsidR="00DD14D0">
        <w:rPr>
          <w:rFonts w:ascii="Times New Roman" w:hAnsi="Times New Roman" w:cs="Times New Roman"/>
          <w:sz w:val="24"/>
        </w:rPr>
        <w:t>mL</w:t>
      </w:r>
      <w:r w:rsidR="00DE305D" w:rsidRPr="00686018">
        <w:rPr>
          <w:rFonts w:ascii="Times New Roman" w:hAnsi="Times New Roman" w:cs="Times New Roman"/>
          <w:sz w:val="24"/>
        </w:rPr>
        <w:t>/g-SV)</w:t>
      </w:r>
      <w:r w:rsidR="00CA68E4" w:rsidRPr="00686018">
        <w:rPr>
          <w:rFonts w:ascii="Times New Roman" w:hAnsi="Times New Roman" w:cs="Times New Roman"/>
          <w:sz w:val="24"/>
        </w:rPr>
        <w:t xml:space="preserve">, </w:t>
      </w:r>
      <w:r w:rsidR="00063AD3" w:rsidRPr="00686018">
        <w:rPr>
          <w:rFonts w:ascii="Times New Roman" w:hAnsi="Times New Roman" w:cs="Times New Roman"/>
          <w:sz w:val="24"/>
        </w:rPr>
        <w:t>además</w:t>
      </w:r>
      <w:r w:rsidR="00312966" w:rsidRPr="00686018">
        <w:rPr>
          <w:rFonts w:ascii="Times New Roman" w:hAnsi="Times New Roman" w:cs="Times New Roman"/>
          <w:sz w:val="24"/>
        </w:rPr>
        <w:t>,</w:t>
      </w:r>
      <w:r w:rsidR="00CA68E4" w:rsidRPr="00686018">
        <w:rPr>
          <w:rFonts w:ascii="Times New Roman" w:hAnsi="Times New Roman" w:cs="Times New Roman"/>
          <w:sz w:val="24"/>
        </w:rPr>
        <w:t xml:space="preserve"> se observa un </w:t>
      </w:r>
      <w:r w:rsidRPr="00686018">
        <w:rPr>
          <w:rFonts w:ascii="Times New Roman" w:hAnsi="Times New Roman" w:cs="Times New Roman"/>
          <w:sz w:val="24"/>
        </w:rPr>
        <w:t>incremento de</w:t>
      </w:r>
      <w:r w:rsidR="00DE305D" w:rsidRPr="00686018">
        <w:rPr>
          <w:rFonts w:ascii="Times New Roman" w:hAnsi="Times New Roman" w:cs="Times New Roman"/>
          <w:sz w:val="24"/>
        </w:rPr>
        <w:t>l</w:t>
      </w:r>
      <w:r w:rsidRPr="00686018">
        <w:rPr>
          <w:rFonts w:ascii="Times New Roman" w:hAnsi="Times New Roman" w:cs="Times New Roman"/>
          <w:sz w:val="24"/>
        </w:rPr>
        <w:t xml:space="preserve"> porcentaje de metano cuando aumenta la </w:t>
      </w:r>
      <w:r w:rsidR="00312966" w:rsidRPr="00686018">
        <w:rPr>
          <w:rFonts w:ascii="Times New Roman" w:hAnsi="Times New Roman" w:cs="Times New Roman"/>
          <w:sz w:val="24"/>
        </w:rPr>
        <w:t>fracción de</w:t>
      </w:r>
      <w:r w:rsidRPr="00686018">
        <w:rPr>
          <w:rFonts w:ascii="Times New Roman" w:hAnsi="Times New Roman" w:cs="Times New Roman"/>
          <w:sz w:val="24"/>
        </w:rPr>
        <w:t xml:space="preserve"> residuo</w:t>
      </w:r>
      <w:r w:rsidR="00E81EFA" w:rsidRPr="00686018">
        <w:rPr>
          <w:rFonts w:ascii="Times New Roman" w:hAnsi="Times New Roman" w:cs="Times New Roman"/>
          <w:sz w:val="24"/>
        </w:rPr>
        <w:t xml:space="preserve"> ruminal (RE:TR 4:0, 62.</w:t>
      </w:r>
      <w:r w:rsidR="00DE305D" w:rsidRPr="00686018">
        <w:rPr>
          <w:rFonts w:ascii="Times New Roman" w:hAnsi="Times New Roman" w:cs="Times New Roman"/>
          <w:sz w:val="24"/>
        </w:rPr>
        <w:t>12 %).</w:t>
      </w:r>
    </w:p>
    <w:p w:rsidR="00580608" w:rsidRPr="00686018" w:rsidRDefault="001E4621" w:rsidP="00A31608">
      <w:pPr>
        <w:spacing w:before="360" w:after="360"/>
        <w:jc w:val="both"/>
        <w:rPr>
          <w:rFonts w:ascii="Times New Roman" w:hAnsi="Times New Roman" w:cs="Times New Roman"/>
          <w:sz w:val="24"/>
        </w:rPr>
      </w:pPr>
      <w:r w:rsidRPr="00686018">
        <w:rPr>
          <w:rFonts w:ascii="Times New Roman" w:hAnsi="Times New Roman" w:cs="Times New Roman"/>
          <w:sz w:val="24"/>
        </w:rPr>
        <w:t>El aumento de los porcentajes de metano en los cinco tratamientos correspondientes a cada uno de los tres experimentos es ilustrado a continuación.</w:t>
      </w:r>
      <w:r w:rsidR="007F080F" w:rsidRPr="00686018">
        <w:rPr>
          <w:rFonts w:ascii="Times New Roman" w:hAnsi="Times New Roman" w:cs="Times New Roman"/>
          <w:sz w:val="24"/>
        </w:rPr>
        <w:t xml:space="preserve"> Un porcentaje </w:t>
      </w:r>
      <w:r w:rsidR="007F080F" w:rsidRPr="00686018">
        <w:rPr>
          <w:rFonts w:ascii="Times New Roman" w:hAnsi="Times New Roman" w:cs="Times New Roman"/>
          <w:sz w:val="24"/>
        </w:rPr>
        <w:lastRenderedPageBreak/>
        <w:t>superior al 50% de RE en el digestor favorece una concentración elevada de CH</w:t>
      </w:r>
      <w:r w:rsidR="007F080F" w:rsidRPr="00686018">
        <w:rPr>
          <w:rFonts w:ascii="Times New Roman" w:hAnsi="Times New Roman" w:cs="Times New Roman"/>
          <w:sz w:val="24"/>
          <w:vertAlign w:val="subscript"/>
        </w:rPr>
        <w:t>4</w:t>
      </w:r>
      <w:r w:rsidR="007F080F" w:rsidRPr="00686018">
        <w:rPr>
          <w:rFonts w:ascii="Times New Roman" w:hAnsi="Times New Roman" w:cs="Times New Roman"/>
          <w:sz w:val="24"/>
        </w:rPr>
        <w:t xml:space="preserve"> aunque no de biogás, indicando una tendencia hacia la monodigestión de RE.</w:t>
      </w:r>
    </w:p>
    <w:p w:rsidR="00973AF5" w:rsidRPr="00686018" w:rsidRDefault="00973AF5" w:rsidP="00A31608">
      <w:pPr>
        <w:pStyle w:val="Descripcin"/>
        <w:jc w:val="both"/>
        <w:rPr>
          <w:rFonts w:ascii="Times New Roman" w:hAnsi="Times New Roman" w:cs="Times New Roman"/>
          <w:i w:val="0"/>
          <w:color w:val="auto"/>
          <w:sz w:val="24"/>
        </w:rPr>
      </w:pPr>
      <w:bookmarkStart w:id="287" w:name="_Toc9537928"/>
      <w:r w:rsidRPr="00686018">
        <w:rPr>
          <w:rFonts w:ascii="Times New Roman" w:hAnsi="Times New Roman" w:cs="Times New Roman"/>
          <w:b/>
          <w:i w:val="0"/>
          <w:color w:val="auto"/>
        </w:rPr>
        <w:t xml:space="preserve">Tabla </w:t>
      </w:r>
      <w:r w:rsidRPr="00686018">
        <w:rPr>
          <w:rFonts w:ascii="Times New Roman" w:hAnsi="Times New Roman" w:cs="Times New Roman"/>
          <w:b/>
          <w:i w:val="0"/>
          <w:color w:val="auto"/>
        </w:rPr>
        <w:fldChar w:fldCharType="begin"/>
      </w:r>
      <w:r w:rsidRPr="00686018">
        <w:rPr>
          <w:rFonts w:ascii="Times New Roman" w:hAnsi="Times New Roman" w:cs="Times New Roman"/>
          <w:b/>
          <w:i w:val="0"/>
          <w:color w:val="auto"/>
        </w:rPr>
        <w:instrText xml:space="preserve"> SEQ Tabla \* ARABIC </w:instrText>
      </w:r>
      <w:r w:rsidRPr="00686018">
        <w:rPr>
          <w:rFonts w:ascii="Times New Roman" w:hAnsi="Times New Roman" w:cs="Times New Roman"/>
          <w:b/>
          <w:i w:val="0"/>
          <w:color w:val="auto"/>
        </w:rPr>
        <w:fldChar w:fldCharType="separate"/>
      </w:r>
      <w:r w:rsidRPr="00686018">
        <w:rPr>
          <w:rFonts w:ascii="Times New Roman" w:hAnsi="Times New Roman" w:cs="Times New Roman"/>
          <w:b/>
          <w:i w:val="0"/>
          <w:noProof/>
          <w:color w:val="auto"/>
        </w:rPr>
        <w:t>25</w:t>
      </w:r>
      <w:r w:rsidRPr="00686018">
        <w:rPr>
          <w:rFonts w:ascii="Times New Roman" w:hAnsi="Times New Roman" w:cs="Times New Roman"/>
          <w:b/>
          <w:i w:val="0"/>
          <w:color w:val="auto"/>
        </w:rPr>
        <w:fldChar w:fldCharType="end"/>
      </w:r>
      <w:r w:rsidRPr="00686018">
        <w:rPr>
          <w:rFonts w:ascii="Times New Roman" w:hAnsi="Times New Roman" w:cs="Times New Roman"/>
          <w:b/>
          <w:i w:val="0"/>
          <w:color w:val="auto"/>
        </w:rPr>
        <w:t>.</w:t>
      </w:r>
      <w:r w:rsidRPr="00686018">
        <w:rPr>
          <w:rFonts w:ascii="Times New Roman" w:hAnsi="Times New Roman" w:cs="Times New Roman"/>
          <w:i w:val="0"/>
          <w:color w:val="auto"/>
        </w:rPr>
        <w:t xml:space="preserve"> Porcentaje de metano promedio a los 40 días de digestión.</w:t>
      </w:r>
      <w:bookmarkEnd w:id="287"/>
    </w:p>
    <w:tbl>
      <w:tblPr>
        <w:tblW w:w="7868" w:type="dxa"/>
        <w:jc w:val="center"/>
        <w:shd w:val="clear" w:color="auto" w:fill="FFFFFF" w:themeFill="background1"/>
        <w:tblCellMar>
          <w:left w:w="0" w:type="dxa"/>
          <w:right w:w="0" w:type="dxa"/>
        </w:tblCellMar>
        <w:tblLook w:val="0600" w:firstRow="0" w:lastRow="0" w:firstColumn="0" w:lastColumn="0" w:noHBand="1" w:noVBand="1"/>
      </w:tblPr>
      <w:tblGrid>
        <w:gridCol w:w="1307"/>
        <w:gridCol w:w="1307"/>
        <w:gridCol w:w="1307"/>
        <w:gridCol w:w="1307"/>
        <w:gridCol w:w="1307"/>
        <w:gridCol w:w="1333"/>
      </w:tblGrid>
      <w:tr w:rsidR="001E4621" w:rsidRPr="00686018" w:rsidTr="007D362B">
        <w:trPr>
          <w:trHeight w:val="357"/>
          <w:jc w:val="center"/>
        </w:trPr>
        <w:tc>
          <w:tcPr>
            <w:tcW w:w="1307" w:type="dxa"/>
            <w:vMerge w:val="restart"/>
            <w:tcBorders>
              <w:top w:val="single" w:sz="8" w:space="0" w:color="000000"/>
              <w:left w:val="nil"/>
              <w:bottom w:val="single" w:sz="8" w:space="0" w:color="000000"/>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Razón I:S</w:t>
            </w:r>
          </w:p>
        </w:tc>
        <w:tc>
          <w:tcPr>
            <w:tcW w:w="6561" w:type="dxa"/>
            <w:gridSpan w:val="5"/>
            <w:tcBorders>
              <w:top w:val="single" w:sz="8" w:space="0" w:color="000000"/>
              <w:left w:val="nil"/>
              <w:bottom w:val="single" w:sz="8" w:space="0" w:color="000000"/>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  Metano Promedio</w:t>
            </w:r>
          </w:p>
        </w:tc>
      </w:tr>
      <w:tr w:rsidR="001E4621" w:rsidRPr="00686018" w:rsidTr="007D362B">
        <w:trPr>
          <w:trHeight w:val="440"/>
          <w:jc w:val="center"/>
        </w:trPr>
        <w:tc>
          <w:tcPr>
            <w:tcW w:w="0" w:type="auto"/>
            <w:vMerge/>
            <w:tcBorders>
              <w:top w:val="single" w:sz="8" w:space="0" w:color="000000"/>
              <w:left w:val="nil"/>
              <w:bottom w:val="single" w:sz="8" w:space="0" w:color="000000"/>
              <w:right w:val="nil"/>
            </w:tcBorders>
            <w:shd w:val="clear" w:color="auto" w:fill="FFFFFF" w:themeFill="background1"/>
            <w:vAlign w:val="center"/>
            <w:hideMark/>
          </w:tcPr>
          <w:p w:rsidR="001E4621" w:rsidRPr="00686018" w:rsidRDefault="001E4621" w:rsidP="007D362B">
            <w:pPr>
              <w:spacing w:before="120" w:after="0" w:line="240" w:lineRule="auto"/>
              <w:jc w:val="center"/>
              <w:rPr>
                <w:rFonts w:ascii="Times New Roman" w:eastAsia="Times New Roman" w:hAnsi="Times New Roman" w:cs="Times New Roman"/>
                <w:sz w:val="18"/>
                <w:szCs w:val="18"/>
                <w:lang w:eastAsia="es-EC"/>
              </w:rPr>
            </w:pPr>
          </w:p>
        </w:tc>
        <w:tc>
          <w:tcPr>
            <w:tcW w:w="1307" w:type="dxa"/>
            <w:tcBorders>
              <w:top w:val="single" w:sz="8" w:space="0" w:color="000000"/>
              <w:left w:val="nil"/>
              <w:bottom w:val="single" w:sz="8" w:space="0" w:color="000000"/>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RE:TR-0:4</w:t>
            </w:r>
          </w:p>
        </w:tc>
        <w:tc>
          <w:tcPr>
            <w:tcW w:w="1307" w:type="dxa"/>
            <w:tcBorders>
              <w:top w:val="single" w:sz="8" w:space="0" w:color="000000"/>
              <w:left w:val="nil"/>
              <w:bottom w:val="single" w:sz="8" w:space="0" w:color="000000"/>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RE:TR-1:3</w:t>
            </w:r>
          </w:p>
        </w:tc>
        <w:tc>
          <w:tcPr>
            <w:tcW w:w="1307" w:type="dxa"/>
            <w:tcBorders>
              <w:top w:val="single" w:sz="8" w:space="0" w:color="000000"/>
              <w:left w:val="nil"/>
              <w:bottom w:val="single" w:sz="8" w:space="0" w:color="000000"/>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RE:TR-2:2</w:t>
            </w:r>
          </w:p>
        </w:tc>
        <w:tc>
          <w:tcPr>
            <w:tcW w:w="1307" w:type="dxa"/>
            <w:tcBorders>
              <w:top w:val="single" w:sz="8" w:space="0" w:color="000000"/>
              <w:left w:val="nil"/>
              <w:bottom w:val="single" w:sz="8" w:space="0" w:color="000000"/>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RE:TR-3:1</w:t>
            </w:r>
          </w:p>
        </w:tc>
        <w:tc>
          <w:tcPr>
            <w:tcW w:w="1332" w:type="dxa"/>
            <w:tcBorders>
              <w:top w:val="single" w:sz="8" w:space="0" w:color="000000"/>
              <w:left w:val="nil"/>
              <w:bottom w:val="single" w:sz="8" w:space="0" w:color="000000"/>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RE:TR-4:0</w:t>
            </w:r>
          </w:p>
        </w:tc>
      </w:tr>
      <w:tr w:rsidR="001E4621" w:rsidRPr="00686018" w:rsidTr="007D362B">
        <w:trPr>
          <w:trHeight w:val="357"/>
          <w:jc w:val="center"/>
        </w:trPr>
        <w:tc>
          <w:tcPr>
            <w:tcW w:w="1307" w:type="dxa"/>
            <w:tcBorders>
              <w:top w:val="single" w:sz="8" w:space="0" w:color="000000"/>
              <w:left w:val="nil"/>
              <w:bottom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I:S - 2:1</w:t>
            </w:r>
          </w:p>
        </w:tc>
        <w:tc>
          <w:tcPr>
            <w:tcW w:w="1307" w:type="dxa"/>
            <w:tcBorders>
              <w:top w:val="single" w:sz="8" w:space="0" w:color="000000"/>
              <w:left w:val="nil"/>
              <w:bottom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57</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54</w:t>
            </w:r>
          </w:p>
        </w:tc>
        <w:tc>
          <w:tcPr>
            <w:tcW w:w="1307" w:type="dxa"/>
            <w:tcBorders>
              <w:top w:val="single" w:sz="8" w:space="0" w:color="000000"/>
              <w:left w:val="nil"/>
              <w:bottom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60</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09</w:t>
            </w:r>
          </w:p>
        </w:tc>
        <w:tc>
          <w:tcPr>
            <w:tcW w:w="1307" w:type="dxa"/>
            <w:tcBorders>
              <w:top w:val="single" w:sz="8" w:space="0" w:color="000000"/>
              <w:left w:val="nil"/>
              <w:bottom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62</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08</w:t>
            </w:r>
          </w:p>
        </w:tc>
        <w:tc>
          <w:tcPr>
            <w:tcW w:w="1307" w:type="dxa"/>
            <w:tcBorders>
              <w:top w:val="single" w:sz="8" w:space="0" w:color="000000"/>
              <w:left w:val="nil"/>
              <w:bottom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65</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74</w:t>
            </w:r>
          </w:p>
        </w:tc>
        <w:tc>
          <w:tcPr>
            <w:tcW w:w="1332" w:type="dxa"/>
            <w:tcBorders>
              <w:top w:val="single" w:sz="8" w:space="0" w:color="000000"/>
              <w:left w:val="nil"/>
              <w:bottom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70</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77</w:t>
            </w:r>
          </w:p>
        </w:tc>
      </w:tr>
      <w:tr w:rsidR="001E4621" w:rsidRPr="00686018" w:rsidTr="007D362B">
        <w:trPr>
          <w:trHeight w:val="357"/>
          <w:jc w:val="center"/>
        </w:trPr>
        <w:tc>
          <w:tcPr>
            <w:tcW w:w="1307" w:type="dxa"/>
            <w:tcBorders>
              <w:top w:val="nil"/>
              <w:left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I:S - 1:1</w:t>
            </w:r>
          </w:p>
        </w:tc>
        <w:tc>
          <w:tcPr>
            <w:tcW w:w="1307" w:type="dxa"/>
            <w:tcBorders>
              <w:top w:val="nil"/>
              <w:left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57</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49</w:t>
            </w:r>
          </w:p>
        </w:tc>
        <w:tc>
          <w:tcPr>
            <w:tcW w:w="1307" w:type="dxa"/>
            <w:tcBorders>
              <w:top w:val="nil"/>
              <w:left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58</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72</w:t>
            </w:r>
          </w:p>
        </w:tc>
        <w:tc>
          <w:tcPr>
            <w:tcW w:w="1307" w:type="dxa"/>
            <w:tcBorders>
              <w:top w:val="nil"/>
              <w:left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62</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49</w:t>
            </w:r>
          </w:p>
        </w:tc>
        <w:tc>
          <w:tcPr>
            <w:tcW w:w="1307" w:type="dxa"/>
            <w:tcBorders>
              <w:top w:val="nil"/>
              <w:left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63</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86</w:t>
            </w:r>
          </w:p>
        </w:tc>
        <w:tc>
          <w:tcPr>
            <w:tcW w:w="1332" w:type="dxa"/>
            <w:tcBorders>
              <w:top w:val="nil"/>
              <w:left w:val="nil"/>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65</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67</w:t>
            </w:r>
          </w:p>
        </w:tc>
      </w:tr>
      <w:tr w:rsidR="001E4621" w:rsidRPr="00686018" w:rsidTr="007D362B">
        <w:trPr>
          <w:trHeight w:val="357"/>
          <w:jc w:val="center"/>
        </w:trPr>
        <w:tc>
          <w:tcPr>
            <w:tcW w:w="1307" w:type="dxa"/>
            <w:tcBorders>
              <w:top w:val="nil"/>
              <w:left w:val="nil"/>
              <w:bottom w:val="single" w:sz="4" w:space="0" w:color="auto"/>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b/>
                <w:bCs/>
                <w:kern w:val="24"/>
                <w:sz w:val="18"/>
                <w:szCs w:val="18"/>
                <w:lang w:eastAsia="es-EC"/>
              </w:rPr>
              <w:t>I:S - 1:2</w:t>
            </w:r>
          </w:p>
        </w:tc>
        <w:tc>
          <w:tcPr>
            <w:tcW w:w="1307" w:type="dxa"/>
            <w:tcBorders>
              <w:top w:val="nil"/>
              <w:left w:val="nil"/>
              <w:bottom w:val="single" w:sz="4" w:space="0" w:color="auto"/>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51</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03</w:t>
            </w:r>
          </w:p>
        </w:tc>
        <w:tc>
          <w:tcPr>
            <w:tcW w:w="1307" w:type="dxa"/>
            <w:tcBorders>
              <w:top w:val="nil"/>
              <w:left w:val="nil"/>
              <w:bottom w:val="single" w:sz="4" w:space="0" w:color="auto"/>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55</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59</w:t>
            </w:r>
          </w:p>
        </w:tc>
        <w:tc>
          <w:tcPr>
            <w:tcW w:w="1307" w:type="dxa"/>
            <w:tcBorders>
              <w:top w:val="nil"/>
              <w:left w:val="nil"/>
              <w:bottom w:val="single" w:sz="4" w:space="0" w:color="auto"/>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56</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27</w:t>
            </w:r>
          </w:p>
        </w:tc>
        <w:tc>
          <w:tcPr>
            <w:tcW w:w="1307" w:type="dxa"/>
            <w:tcBorders>
              <w:top w:val="nil"/>
              <w:left w:val="nil"/>
              <w:bottom w:val="single" w:sz="4" w:space="0" w:color="auto"/>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57</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60</w:t>
            </w:r>
          </w:p>
        </w:tc>
        <w:tc>
          <w:tcPr>
            <w:tcW w:w="1332" w:type="dxa"/>
            <w:tcBorders>
              <w:top w:val="nil"/>
              <w:left w:val="nil"/>
              <w:bottom w:val="single" w:sz="4" w:space="0" w:color="auto"/>
              <w:right w:val="nil"/>
            </w:tcBorders>
            <w:shd w:val="clear" w:color="auto" w:fill="FFFFFF" w:themeFill="background1"/>
            <w:tcMar>
              <w:top w:w="15" w:type="dxa"/>
              <w:left w:w="15" w:type="dxa"/>
              <w:bottom w:w="0" w:type="dxa"/>
              <w:right w:w="15" w:type="dxa"/>
            </w:tcMar>
            <w:vAlign w:val="center"/>
            <w:hideMark/>
          </w:tcPr>
          <w:p w:rsidR="001E4621" w:rsidRPr="00686018" w:rsidRDefault="001E4621" w:rsidP="007D362B">
            <w:pPr>
              <w:spacing w:before="120" w:after="0" w:line="240" w:lineRule="auto"/>
              <w:jc w:val="center"/>
              <w:textAlignment w:val="bottom"/>
              <w:rPr>
                <w:rFonts w:ascii="Times New Roman" w:eastAsia="Times New Roman" w:hAnsi="Times New Roman" w:cs="Times New Roman"/>
                <w:sz w:val="18"/>
                <w:szCs w:val="18"/>
                <w:lang w:eastAsia="es-EC"/>
              </w:rPr>
            </w:pPr>
            <w:r w:rsidRPr="00686018">
              <w:rPr>
                <w:rFonts w:ascii="Times New Roman" w:eastAsia="Times New Roman" w:hAnsi="Times New Roman" w:cs="Times New Roman"/>
                <w:kern w:val="24"/>
                <w:sz w:val="18"/>
                <w:szCs w:val="18"/>
                <w:lang w:eastAsia="es-EC"/>
              </w:rPr>
              <w:t>62</w:t>
            </w:r>
            <w:r w:rsidR="00580608" w:rsidRPr="00686018">
              <w:rPr>
                <w:rFonts w:ascii="Times New Roman" w:eastAsia="Times New Roman" w:hAnsi="Times New Roman" w:cs="Times New Roman"/>
                <w:kern w:val="24"/>
                <w:sz w:val="18"/>
                <w:szCs w:val="18"/>
                <w:lang w:eastAsia="es-EC"/>
              </w:rPr>
              <w:t>.</w:t>
            </w:r>
            <w:r w:rsidRPr="00686018">
              <w:rPr>
                <w:rFonts w:ascii="Times New Roman" w:eastAsia="Times New Roman" w:hAnsi="Times New Roman" w:cs="Times New Roman"/>
                <w:kern w:val="24"/>
                <w:sz w:val="18"/>
                <w:szCs w:val="18"/>
                <w:lang w:eastAsia="es-EC"/>
              </w:rPr>
              <w:t>12</w:t>
            </w:r>
          </w:p>
        </w:tc>
      </w:tr>
    </w:tbl>
    <w:p w:rsidR="00973AF5" w:rsidRPr="00686018" w:rsidRDefault="00973AF5" w:rsidP="00A31608">
      <w:pPr>
        <w:spacing w:after="360"/>
        <w:jc w:val="both"/>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1E4621" w:rsidRPr="00686018" w:rsidRDefault="00973AF5" w:rsidP="00B46DDC">
      <w:pPr>
        <w:spacing w:before="360" w:after="360"/>
        <w:jc w:val="center"/>
        <w:rPr>
          <w:rFonts w:ascii="Times New Roman" w:hAnsi="Times New Roman" w:cs="Times New Roman"/>
          <w:sz w:val="24"/>
        </w:rPr>
      </w:pPr>
      <w:r w:rsidRPr="00686018">
        <w:rPr>
          <w:rFonts w:ascii="Times New Roman" w:hAnsi="Times New Roman" w:cs="Times New Roman"/>
          <w:noProof/>
          <w:lang w:eastAsia="es-EC"/>
        </w:rPr>
        <w:drawing>
          <wp:inline distT="0" distB="0" distL="0" distR="0" wp14:anchorId="395E7E13" wp14:editId="79175F43">
            <wp:extent cx="4278085" cy="3514142"/>
            <wp:effectExtent l="0" t="0" r="8255" b="0"/>
            <wp:docPr id="6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50"/>
                    <a:stretch>
                      <a:fillRect/>
                    </a:stretch>
                  </pic:blipFill>
                  <pic:spPr>
                    <a:xfrm>
                      <a:off x="0" y="0"/>
                      <a:ext cx="4289105" cy="3523194"/>
                    </a:xfrm>
                    <a:prstGeom prst="rect">
                      <a:avLst/>
                    </a:prstGeom>
                  </pic:spPr>
                </pic:pic>
              </a:graphicData>
            </a:graphic>
          </wp:inline>
        </w:drawing>
      </w:r>
    </w:p>
    <w:p w:rsidR="00973AF5" w:rsidRPr="00686018" w:rsidRDefault="00B639AA" w:rsidP="00B46DDC">
      <w:pPr>
        <w:pStyle w:val="Descripcin"/>
        <w:jc w:val="center"/>
        <w:rPr>
          <w:rFonts w:ascii="Times New Roman" w:hAnsi="Times New Roman" w:cs="Times New Roman"/>
          <w:i w:val="0"/>
          <w:color w:val="auto"/>
          <w:sz w:val="24"/>
        </w:rPr>
      </w:pPr>
      <w:bookmarkStart w:id="288" w:name="_Toc9537894"/>
      <w:r>
        <w:rPr>
          <w:rFonts w:ascii="Times New Roman" w:hAnsi="Times New Roman" w:cs="Times New Roman"/>
          <w:b/>
          <w:i w:val="0"/>
          <w:color w:val="auto"/>
        </w:rPr>
        <w:t>Figura</w:t>
      </w:r>
      <w:r w:rsidR="00973AF5" w:rsidRPr="00686018">
        <w:rPr>
          <w:rFonts w:ascii="Times New Roman" w:hAnsi="Times New Roman" w:cs="Times New Roman"/>
          <w:b/>
          <w:i w:val="0"/>
          <w:color w:val="auto"/>
        </w:rPr>
        <w:t xml:space="preserve"> </w:t>
      </w:r>
      <w:r w:rsidR="00973AF5" w:rsidRPr="00686018">
        <w:rPr>
          <w:rFonts w:ascii="Times New Roman" w:hAnsi="Times New Roman" w:cs="Times New Roman"/>
          <w:b/>
          <w:i w:val="0"/>
          <w:color w:val="auto"/>
        </w:rPr>
        <w:fldChar w:fldCharType="begin"/>
      </w:r>
      <w:r w:rsidR="00973AF5" w:rsidRPr="00686018">
        <w:rPr>
          <w:rFonts w:ascii="Times New Roman" w:hAnsi="Times New Roman" w:cs="Times New Roman"/>
          <w:b/>
          <w:i w:val="0"/>
          <w:color w:val="auto"/>
        </w:rPr>
        <w:instrText xml:space="preserve"> SEQ Figure \* ARABIC </w:instrText>
      </w:r>
      <w:r w:rsidR="00973AF5"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26</w:t>
      </w:r>
      <w:r w:rsidR="00973AF5" w:rsidRPr="00686018">
        <w:rPr>
          <w:rFonts w:ascii="Times New Roman" w:hAnsi="Times New Roman" w:cs="Times New Roman"/>
          <w:b/>
          <w:i w:val="0"/>
          <w:color w:val="auto"/>
        </w:rPr>
        <w:fldChar w:fldCharType="end"/>
      </w:r>
      <w:r w:rsidR="00973AF5" w:rsidRPr="00686018">
        <w:rPr>
          <w:rFonts w:ascii="Times New Roman" w:hAnsi="Times New Roman" w:cs="Times New Roman"/>
          <w:b/>
          <w:i w:val="0"/>
          <w:color w:val="auto"/>
        </w:rPr>
        <w:t xml:space="preserve">. </w:t>
      </w:r>
      <w:r w:rsidR="00973AF5" w:rsidRPr="00686018">
        <w:rPr>
          <w:rFonts w:ascii="Times New Roman" w:hAnsi="Times New Roman" w:cs="Times New Roman"/>
          <w:i w:val="0"/>
          <w:color w:val="auto"/>
        </w:rPr>
        <w:t>Aumento del % de metano en los tratamientos RE:TR</w:t>
      </w:r>
      <w:bookmarkEnd w:id="288"/>
    </w:p>
    <w:p w:rsidR="00973AF5" w:rsidRPr="00686018" w:rsidRDefault="00973AF5"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7728DF" w:rsidRPr="00686018" w:rsidRDefault="007728DF" w:rsidP="00A31608">
      <w:pPr>
        <w:jc w:val="both"/>
        <w:rPr>
          <w:rFonts w:ascii="Times New Roman" w:hAnsi="Times New Roman" w:cs="Times New Roman"/>
        </w:rPr>
      </w:pPr>
    </w:p>
    <w:p w:rsidR="007728DF" w:rsidRPr="00686018" w:rsidRDefault="007728DF" w:rsidP="00A31608">
      <w:pPr>
        <w:jc w:val="both"/>
        <w:rPr>
          <w:rFonts w:ascii="Times New Roman" w:hAnsi="Times New Roman" w:cs="Times New Roman"/>
        </w:rPr>
      </w:pPr>
    </w:p>
    <w:p w:rsidR="001E4621" w:rsidRPr="00686018" w:rsidRDefault="001E4621" w:rsidP="00A31608">
      <w:pPr>
        <w:jc w:val="both"/>
        <w:rPr>
          <w:rFonts w:ascii="Times New Roman" w:hAnsi="Times New Roman" w:cs="Times New Roman"/>
        </w:rPr>
      </w:pPr>
    </w:p>
    <w:p w:rsidR="001E4621" w:rsidRPr="00686018" w:rsidRDefault="001E4621" w:rsidP="00A31608">
      <w:pPr>
        <w:jc w:val="both"/>
        <w:rPr>
          <w:rFonts w:ascii="Times New Roman" w:hAnsi="Times New Roman" w:cs="Times New Roman"/>
        </w:rPr>
      </w:pPr>
    </w:p>
    <w:p w:rsidR="001E4621" w:rsidRPr="00686018" w:rsidRDefault="001E4621" w:rsidP="00A31608">
      <w:pPr>
        <w:jc w:val="both"/>
        <w:rPr>
          <w:rFonts w:ascii="Times New Roman" w:hAnsi="Times New Roman" w:cs="Times New Roman"/>
        </w:rPr>
      </w:pPr>
    </w:p>
    <w:p w:rsidR="00686018" w:rsidRPr="00686018" w:rsidRDefault="00686018" w:rsidP="00A31608">
      <w:pPr>
        <w:jc w:val="both"/>
        <w:rPr>
          <w:rFonts w:ascii="Times New Roman" w:hAnsi="Times New Roman" w:cs="Times New Roman"/>
        </w:rPr>
      </w:pPr>
    </w:p>
    <w:p w:rsidR="00DC0C71" w:rsidRPr="00686018" w:rsidRDefault="00DC0C71" w:rsidP="00A31608">
      <w:pPr>
        <w:pStyle w:val="Ttulo1"/>
        <w:jc w:val="both"/>
        <w:rPr>
          <w:rFonts w:cs="Times New Roman"/>
        </w:rPr>
      </w:pPr>
      <w:bookmarkStart w:id="289" w:name="_Toc9537865"/>
      <w:r w:rsidRPr="00686018">
        <w:rPr>
          <w:rFonts w:cs="Times New Roman"/>
        </w:rPr>
        <w:lastRenderedPageBreak/>
        <w:t>CAPITULO VII</w:t>
      </w:r>
      <w:bookmarkEnd w:id="289"/>
    </w:p>
    <w:p w:rsidR="00DC0C71" w:rsidRPr="00686018" w:rsidRDefault="00C71383" w:rsidP="00A31608">
      <w:pPr>
        <w:pStyle w:val="Ttulo2"/>
        <w:numPr>
          <w:ilvl w:val="0"/>
          <w:numId w:val="4"/>
        </w:numPr>
        <w:jc w:val="both"/>
        <w:rPr>
          <w:rFonts w:cs="Times New Roman"/>
        </w:rPr>
      </w:pPr>
      <w:bookmarkStart w:id="290" w:name="_Toc9537866"/>
      <w:r w:rsidRPr="00686018">
        <w:rPr>
          <w:rFonts w:cs="Times New Roman"/>
        </w:rPr>
        <w:t>CONCLUSIONES Y RECOMENDACIONES</w:t>
      </w:r>
      <w:bookmarkEnd w:id="290"/>
    </w:p>
    <w:p w:rsidR="00DC0C71" w:rsidRPr="00686018" w:rsidRDefault="003D2321" w:rsidP="00A31608">
      <w:p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Considerando los resultados obtenidos durante la investigación de</w:t>
      </w:r>
      <w:r w:rsidR="00066D2C" w:rsidRPr="00686018">
        <w:rPr>
          <w:rFonts w:ascii="Times New Roman" w:hAnsi="Times New Roman" w:cs="Times New Roman"/>
          <w:sz w:val="24"/>
          <w:szCs w:val="24"/>
        </w:rPr>
        <w:t xml:space="preserve"> codigestión anaerobia a </w:t>
      </w:r>
      <w:r w:rsidRPr="00686018">
        <w:rPr>
          <w:rFonts w:ascii="Times New Roman" w:hAnsi="Times New Roman" w:cs="Times New Roman"/>
          <w:sz w:val="24"/>
          <w:szCs w:val="24"/>
        </w:rPr>
        <w:t xml:space="preserve">diferentes razones I:S y RE a TR que pueden influir en la generación de biogás y metano a los 40 días de digestión, se pueden </w:t>
      </w:r>
      <w:r w:rsidR="00066D2C" w:rsidRPr="00686018">
        <w:rPr>
          <w:rFonts w:ascii="Times New Roman" w:hAnsi="Times New Roman" w:cs="Times New Roman"/>
          <w:sz w:val="24"/>
          <w:szCs w:val="24"/>
        </w:rPr>
        <w:t>exponer</w:t>
      </w:r>
      <w:r w:rsidRPr="00686018">
        <w:rPr>
          <w:rFonts w:ascii="Times New Roman" w:hAnsi="Times New Roman" w:cs="Times New Roman"/>
          <w:sz w:val="24"/>
          <w:szCs w:val="24"/>
        </w:rPr>
        <w:t xml:space="preserve"> las siguientes conclusiones:</w:t>
      </w:r>
    </w:p>
    <w:p w:rsidR="006F4CF0" w:rsidRPr="00686018" w:rsidRDefault="006F4CF0" w:rsidP="00A31608">
      <w:pPr>
        <w:pStyle w:val="Prrafodelista"/>
        <w:numPr>
          <w:ilvl w:val="0"/>
          <w:numId w:val="32"/>
        </w:num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En la digestión anaerobia de RE y TR se presentó la producción más alta de biogás cuando la razón de inoculo a sustrato fue de 1:2 y una razón 3:1 de RE a TR, el rendimiento de biogás a los </w:t>
      </w:r>
      <w:r w:rsidR="00580608" w:rsidRPr="00686018">
        <w:rPr>
          <w:rFonts w:ascii="Times New Roman" w:hAnsi="Times New Roman" w:cs="Times New Roman"/>
          <w:sz w:val="24"/>
          <w:szCs w:val="24"/>
        </w:rPr>
        <w:t>40 días de digestión fue de 502.903</w:t>
      </w:r>
      <w:r w:rsidR="00DD14D0">
        <w:rPr>
          <w:rFonts w:ascii="Times New Roman" w:hAnsi="Times New Roman" w:cs="Times New Roman"/>
          <w:sz w:val="24"/>
          <w:szCs w:val="24"/>
        </w:rPr>
        <w:t>mL</w:t>
      </w:r>
      <w:r w:rsidRPr="00686018">
        <w:rPr>
          <w:rFonts w:ascii="Times New Roman" w:hAnsi="Times New Roman" w:cs="Times New Roman"/>
          <w:sz w:val="24"/>
          <w:szCs w:val="24"/>
        </w:rPr>
        <w:t>/g-SV más alto que en monodigestión (460,891</w:t>
      </w:r>
      <w:r w:rsidR="00DD14D0">
        <w:rPr>
          <w:rFonts w:ascii="Times New Roman" w:hAnsi="Times New Roman" w:cs="Times New Roman"/>
          <w:sz w:val="24"/>
          <w:szCs w:val="24"/>
        </w:rPr>
        <w:t>mL</w:t>
      </w:r>
      <w:r w:rsidRPr="00686018">
        <w:rPr>
          <w:rFonts w:ascii="Times New Roman" w:hAnsi="Times New Roman" w:cs="Times New Roman"/>
          <w:sz w:val="24"/>
          <w:szCs w:val="24"/>
        </w:rPr>
        <w:t>/g-SV, I:S-1:1</w:t>
      </w:r>
      <w:r w:rsidR="00580608" w:rsidRPr="00686018">
        <w:rPr>
          <w:rFonts w:ascii="Times New Roman" w:hAnsi="Times New Roman" w:cs="Times New Roman"/>
          <w:sz w:val="24"/>
          <w:szCs w:val="24"/>
        </w:rPr>
        <w:t>, TR:TR-0:4) y codigestión (493.247</w:t>
      </w:r>
      <w:r w:rsidR="00DD14D0">
        <w:rPr>
          <w:rFonts w:ascii="Times New Roman" w:hAnsi="Times New Roman" w:cs="Times New Roman"/>
          <w:sz w:val="24"/>
          <w:szCs w:val="24"/>
        </w:rPr>
        <w:t>mL</w:t>
      </w:r>
      <w:r w:rsidRPr="00686018">
        <w:rPr>
          <w:rFonts w:ascii="Times New Roman" w:hAnsi="Times New Roman" w:cs="Times New Roman"/>
          <w:sz w:val="24"/>
          <w:szCs w:val="24"/>
        </w:rPr>
        <w:t>/g-SV, I:S-2:1, TR:TR-2:2).</w:t>
      </w:r>
      <w:r w:rsidR="004E1014" w:rsidRPr="00686018">
        <w:rPr>
          <w:rFonts w:ascii="Times New Roman" w:hAnsi="Times New Roman" w:cs="Times New Roman"/>
          <w:sz w:val="24"/>
          <w:szCs w:val="24"/>
        </w:rPr>
        <w:t xml:space="preserve"> </w:t>
      </w:r>
      <w:r w:rsidRPr="00686018">
        <w:rPr>
          <w:rFonts w:ascii="Times New Roman" w:hAnsi="Times New Roman" w:cs="Times New Roman"/>
          <w:sz w:val="24"/>
          <w:szCs w:val="24"/>
        </w:rPr>
        <w:t xml:space="preserve">Sin embargo, la </w:t>
      </w:r>
      <w:r w:rsidR="004E1014" w:rsidRPr="00686018">
        <w:rPr>
          <w:rFonts w:ascii="Times New Roman" w:hAnsi="Times New Roman" w:cs="Times New Roman"/>
          <w:sz w:val="24"/>
          <w:szCs w:val="24"/>
        </w:rPr>
        <w:t xml:space="preserve">concentración </w:t>
      </w:r>
      <w:r w:rsidRPr="00686018">
        <w:rPr>
          <w:rFonts w:ascii="Times New Roman" w:hAnsi="Times New Roman" w:cs="Times New Roman"/>
          <w:sz w:val="24"/>
          <w:szCs w:val="24"/>
        </w:rPr>
        <w:t>de met</w:t>
      </w:r>
      <w:r w:rsidR="004E1014" w:rsidRPr="00686018">
        <w:rPr>
          <w:rFonts w:ascii="Times New Roman" w:hAnsi="Times New Roman" w:cs="Times New Roman"/>
          <w:sz w:val="24"/>
          <w:szCs w:val="24"/>
        </w:rPr>
        <w:t>ano</w:t>
      </w:r>
      <w:r w:rsidRPr="00686018">
        <w:rPr>
          <w:rFonts w:ascii="Times New Roman" w:hAnsi="Times New Roman" w:cs="Times New Roman"/>
          <w:sz w:val="24"/>
          <w:szCs w:val="24"/>
        </w:rPr>
        <w:t xml:space="preserve"> no es proporcional a la </w:t>
      </w:r>
      <w:r w:rsidR="004E1014" w:rsidRPr="00686018">
        <w:rPr>
          <w:rFonts w:ascii="Times New Roman" w:hAnsi="Times New Roman" w:cs="Times New Roman"/>
          <w:sz w:val="24"/>
          <w:szCs w:val="24"/>
        </w:rPr>
        <w:t>cantidad</w:t>
      </w:r>
      <w:r w:rsidRPr="00686018">
        <w:rPr>
          <w:rFonts w:ascii="Times New Roman" w:hAnsi="Times New Roman" w:cs="Times New Roman"/>
          <w:sz w:val="24"/>
          <w:szCs w:val="24"/>
        </w:rPr>
        <w:t xml:space="preserve"> de biogás</w:t>
      </w:r>
      <w:r w:rsidR="004E1014" w:rsidRPr="00686018">
        <w:rPr>
          <w:rFonts w:ascii="Times New Roman" w:hAnsi="Times New Roman" w:cs="Times New Roman"/>
          <w:sz w:val="24"/>
          <w:szCs w:val="24"/>
        </w:rPr>
        <w:t xml:space="preserve"> generado</w:t>
      </w:r>
      <w:r w:rsidR="00580608" w:rsidRPr="00686018">
        <w:rPr>
          <w:rFonts w:ascii="Times New Roman" w:hAnsi="Times New Roman" w:cs="Times New Roman"/>
          <w:sz w:val="24"/>
          <w:szCs w:val="24"/>
        </w:rPr>
        <w:t>; un máximo de 306.205</w:t>
      </w:r>
      <w:r w:rsidR="00DD14D0">
        <w:rPr>
          <w:rFonts w:ascii="Times New Roman" w:hAnsi="Times New Roman" w:cs="Times New Roman"/>
          <w:sz w:val="24"/>
          <w:szCs w:val="24"/>
        </w:rPr>
        <w:t>mL</w:t>
      </w:r>
      <w:r w:rsidR="00580608" w:rsidRPr="00686018">
        <w:rPr>
          <w:rFonts w:ascii="Times New Roman" w:hAnsi="Times New Roman" w:cs="Times New Roman"/>
          <w:sz w:val="24"/>
          <w:szCs w:val="24"/>
        </w:rPr>
        <w:t>CH4/g-SV (RE:TR-2:2), 272.836</w:t>
      </w:r>
      <w:r w:rsidR="00DD14D0">
        <w:rPr>
          <w:rFonts w:ascii="Times New Roman" w:hAnsi="Times New Roman" w:cs="Times New Roman"/>
          <w:sz w:val="24"/>
          <w:szCs w:val="24"/>
        </w:rPr>
        <w:t>mL</w:t>
      </w:r>
      <w:r w:rsidR="00580608" w:rsidRPr="00686018">
        <w:rPr>
          <w:rFonts w:ascii="Times New Roman" w:hAnsi="Times New Roman" w:cs="Times New Roman"/>
          <w:sz w:val="24"/>
          <w:szCs w:val="24"/>
        </w:rPr>
        <w:t>CH4/g-SV (RE:TR-3:1) y 289.078</w:t>
      </w:r>
      <w:r w:rsidR="00DD14D0">
        <w:rPr>
          <w:rFonts w:ascii="Times New Roman" w:hAnsi="Times New Roman" w:cs="Times New Roman"/>
          <w:sz w:val="24"/>
          <w:szCs w:val="24"/>
        </w:rPr>
        <w:t>mL</w:t>
      </w:r>
      <w:r w:rsidRPr="00686018">
        <w:rPr>
          <w:rFonts w:ascii="Times New Roman" w:hAnsi="Times New Roman" w:cs="Times New Roman"/>
          <w:sz w:val="24"/>
          <w:szCs w:val="24"/>
        </w:rPr>
        <w:t xml:space="preserve">CH4/g-SV (RE:TR-3:1) fueron identificados a una razón I:S de 2:1, 1:1 y 1:2 respectivamente. </w:t>
      </w:r>
    </w:p>
    <w:p w:rsidR="008465B6" w:rsidRPr="00686018" w:rsidRDefault="004E1014" w:rsidP="00A31608">
      <w:pPr>
        <w:pStyle w:val="Prrafodelista"/>
        <w:numPr>
          <w:ilvl w:val="0"/>
          <w:numId w:val="32"/>
        </w:num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Para las </w:t>
      </w:r>
      <w:r w:rsidR="000D529B" w:rsidRPr="00686018">
        <w:rPr>
          <w:rFonts w:ascii="Times New Roman" w:hAnsi="Times New Roman" w:cs="Times New Roman"/>
          <w:sz w:val="24"/>
          <w:szCs w:val="24"/>
        </w:rPr>
        <w:t>relaciones C/N</w:t>
      </w:r>
      <w:r w:rsidRPr="00686018">
        <w:rPr>
          <w:rFonts w:ascii="Times New Roman" w:hAnsi="Times New Roman" w:cs="Times New Roman"/>
          <w:sz w:val="24"/>
          <w:szCs w:val="24"/>
        </w:rPr>
        <w:t xml:space="preserve"> analizadas, </w:t>
      </w:r>
      <w:r w:rsidR="00A2355C" w:rsidRPr="00686018">
        <w:rPr>
          <w:rFonts w:ascii="Times New Roman" w:hAnsi="Times New Roman" w:cs="Times New Roman"/>
          <w:sz w:val="24"/>
          <w:szCs w:val="24"/>
        </w:rPr>
        <w:t xml:space="preserve">una </w:t>
      </w:r>
      <w:r w:rsidRPr="00686018">
        <w:rPr>
          <w:rFonts w:ascii="Times New Roman" w:hAnsi="Times New Roman" w:cs="Times New Roman"/>
          <w:sz w:val="24"/>
          <w:szCs w:val="24"/>
        </w:rPr>
        <w:t>relación C/N</w:t>
      </w:r>
      <w:r w:rsidR="0018408E">
        <w:rPr>
          <w:rFonts w:ascii="Times New Roman" w:hAnsi="Times New Roman" w:cs="Times New Roman"/>
          <w:sz w:val="24"/>
          <w:szCs w:val="24"/>
        </w:rPr>
        <w:t xml:space="preserve"> de 16.65</w:t>
      </w:r>
      <w:r w:rsidR="00A2355C" w:rsidRPr="00686018">
        <w:rPr>
          <w:rFonts w:ascii="Times New Roman" w:hAnsi="Times New Roman" w:cs="Times New Roman"/>
          <w:sz w:val="24"/>
          <w:szCs w:val="24"/>
        </w:rPr>
        <w:t xml:space="preserve"> a 38.15 es óptima para la codigestión de RE y TR a una razón de 3:1; la tendencia es disminuir la cantidad de inóculo y mantener la razón C/N dentro del rango para maximizar el rendimiento de metano acumulado.</w:t>
      </w:r>
    </w:p>
    <w:p w:rsidR="00DC0C71" w:rsidRPr="00686018" w:rsidRDefault="00B16214" w:rsidP="00A31608">
      <w:pPr>
        <w:pStyle w:val="Prrafodelista"/>
        <w:numPr>
          <w:ilvl w:val="0"/>
          <w:numId w:val="32"/>
        </w:num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 xml:space="preserve">Una carga mayor de inoculo incrementa la BD aunque no el IES. Porcentajes de IES </w:t>
      </w:r>
      <w:r w:rsidR="007D362B" w:rsidRPr="00686018">
        <w:rPr>
          <w:rFonts w:ascii="Times New Roman" w:hAnsi="Times New Roman" w:cs="Times New Roman"/>
          <w:sz w:val="24"/>
          <w:szCs w:val="24"/>
        </w:rPr>
        <w:t>más</w:t>
      </w:r>
      <w:r w:rsidRPr="00686018">
        <w:rPr>
          <w:rFonts w:ascii="Times New Roman" w:hAnsi="Times New Roman" w:cs="Times New Roman"/>
          <w:sz w:val="24"/>
          <w:szCs w:val="24"/>
        </w:rPr>
        <w:t xml:space="preserve"> altos se presentaron a concentraciones inferiores de inoculo (I:S – 1:2) y concentraciones más altas de RE con respecto a TR (RE:TR 3:1); además, la BD en este experimento fue ligeramente inferior a I:S – 2:1 y tuvo concentraciones de metano acumulado similares</w:t>
      </w:r>
      <w:r w:rsidR="007D362B">
        <w:rPr>
          <w:rFonts w:ascii="Times New Roman" w:hAnsi="Times New Roman" w:cs="Times New Roman"/>
          <w:sz w:val="24"/>
          <w:szCs w:val="24"/>
        </w:rPr>
        <w:t>.</w:t>
      </w:r>
    </w:p>
    <w:p w:rsidR="00E84F2E" w:rsidRPr="00686018" w:rsidRDefault="00932CBF" w:rsidP="00A31608">
      <w:pPr>
        <w:pStyle w:val="Prrafodelista"/>
        <w:numPr>
          <w:ilvl w:val="0"/>
          <w:numId w:val="32"/>
        </w:num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En todos los experimentos, el porcentaje de metano se incrementa a medida que se incrementa la fracción de RE sin importar la cantidad de inoculo empleado.</w:t>
      </w:r>
      <w:r w:rsidR="00267901" w:rsidRPr="00686018">
        <w:rPr>
          <w:rFonts w:ascii="Times New Roman" w:hAnsi="Times New Roman" w:cs="Times New Roman"/>
          <w:sz w:val="24"/>
          <w:szCs w:val="24"/>
        </w:rPr>
        <w:t xml:space="preserve"> </w:t>
      </w:r>
      <w:r w:rsidR="00E84F2E" w:rsidRPr="00686018">
        <w:rPr>
          <w:rFonts w:ascii="Times New Roman" w:hAnsi="Times New Roman" w:cs="Times New Roman"/>
          <w:sz w:val="24"/>
          <w:szCs w:val="24"/>
        </w:rPr>
        <w:t xml:space="preserve">Se podría identificar un rango óptimo de metano generado, </w:t>
      </w:r>
      <w:r w:rsidR="00B47D25" w:rsidRPr="00686018">
        <w:rPr>
          <w:rFonts w:ascii="Times New Roman" w:hAnsi="Times New Roman" w:cs="Times New Roman"/>
          <w:sz w:val="24"/>
          <w:szCs w:val="24"/>
        </w:rPr>
        <w:t>correspondiente</w:t>
      </w:r>
      <w:r w:rsidR="00E84F2E" w:rsidRPr="00686018">
        <w:rPr>
          <w:rFonts w:ascii="Times New Roman" w:hAnsi="Times New Roman" w:cs="Times New Roman"/>
          <w:sz w:val="24"/>
          <w:szCs w:val="24"/>
        </w:rPr>
        <w:t xml:space="preserve"> a fracciones de residuo ruminal de 50 a 75%, el pH inicial óptimo para maximizar el RMA es de 7.34.</w:t>
      </w:r>
    </w:p>
    <w:p w:rsidR="006909A5" w:rsidRDefault="00E84F2E" w:rsidP="00A31608">
      <w:pPr>
        <w:pStyle w:val="Prrafodelista"/>
        <w:numPr>
          <w:ilvl w:val="0"/>
          <w:numId w:val="32"/>
        </w:numPr>
        <w:spacing w:before="360" w:after="360"/>
        <w:jc w:val="both"/>
        <w:rPr>
          <w:rFonts w:ascii="Times New Roman" w:hAnsi="Times New Roman" w:cs="Times New Roman"/>
          <w:sz w:val="24"/>
          <w:szCs w:val="24"/>
        </w:rPr>
      </w:pPr>
      <w:r w:rsidRPr="00686018">
        <w:rPr>
          <w:rFonts w:ascii="Times New Roman" w:hAnsi="Times New Roman" w:cs="Times New Roman"/>
          <w:sz w:val="24"/>
          <w:szCs w:val="24"/>
        </w:rPr>
        <w:t>Cuando se usó el modelo modificado de Gompertz y el modelo de Función de Transferencia los datos experimentales se ajustaron de manera precisa (R</w:t>
      </w:r>
      <w:r w:rsidRPr="00686018">
        <w:rPr>
          <w:rFonts w:ascii="Times New Roman" w:hAnsi="Times New Roman" w:cs="Times New Roman"/>
          <w:sz w:val="24"/>
          <w:szCs w:val="24"/>
          <w:vertAlign w:val="superscript"/>
        </w:rPr>
        <w:t>2</w:t>
      </w:r>
      <w:r w:rsidRPr="00686018">
        <w:rPr>
          <w:rFonts w:ascii="Times New Roman" w:hAnsi="Times New Roman" w:cs="Times New Roman"/>
          <w:sz w:val="24"/>
          <w:szCs w:val="24"/>
        </w:rPr>
        <w:t xml:space="preserve"> = 0.966 a 0.997)</w:t>
      </w:r>
      <w:r w:rsidR="0018408E">
        <w:rPr>
          <w:rFonts w:ascii="Times New Roman" w:hAnsi="Times New Roman" w:cs="Times New Roman"/>
          <w:sz w:val="24"/>
          <w:szCs w:val="24"/>
        </w:rPr>
        <w:t xml:space="preserve"> estos modelos</w:t>
      </w:r>
      <w:r w:rsidRPr="00686018">
        <w:rPr>
          <w:rFonts w:ascii="Times New Roman" w:hAnsi="Times New Roman" w:cs="Times New Roman"/>
          <w:sz w:val="24"/>
          <w:szCs w:val="24"/>
        </w:rPr>
        <w:t xml:space="preserve"> fueron adecuados para estimar λ. En ambos casos, λ aumenta a media que se incrementa la fracción del sustrato (aumenta la fracción de RE) y se reduce la fracción de inoculo. El modelo de Primer orden estimo precisamente el parámetro </w:t>
      </w:r>
      <w:r w:rsidRPr="00B245B9">
        <w:rPr>
          <w:rFonts w:ascii="Times New Roman" w:hAnsi="Times New Roman" w:cs="Times New Roman"/>
          <w:i/>
          <w:sz w:val="24"/>
          <w:szCs w:val="24"/>
        </w:rPr>
        <w:t>K</w:t>
      </w:r>
      <w:r w:rsidRPr="00686018">
        <w:rPr>
          <w:rFonts w:ascii="Times New Roman" w:hAnsi="Times New Roman" w:cs="Times New Roman"/>
          <w:sz w:val="24"/>
          <w:szCs w:val="24"/>
        </w:rPr>
        <w:t>, un porcentaje más alto de RE favorece la razón de hidrolisis. Aumentar la fracción de RE en comparación a TR mejora la</w:t>
      </w:r>
      <w:r w:rsidR="002A0945">
        <w:rPr>
          <w:rFonts w:ascii="Times New Roman" w:hAnsi="Times New Roman" w:cs="Times New Roman"/>
          <w:sz w:val="24"/>
          <w:szCs w:val="24"/>
        </w:rPr>
        <w:t xml:space="preserve"> generación de metano, la carga</w:t>
      </w:r>
      <w:r w:rsidRPr="00686018">
        <w:rPr>
          <w:rFonts w:ascii="Times New Roman" w:hAnsi="Times New Roman" w:cs="Times New Roman"/>
          <w:sz w:val="24"/>
          <w:szCs w:val="24"/>
        </w:rPr>
        <w:t xml:space="preserve"> microbiana adicional que acompaña a RE podría favorecer la abundancia de microorganismos que en monodigestión es ausente.  </w:t>
      </w:r>
    </w:p>
    <w:p w:rsidR="00B245B9" w:rsidRDefault="00B245B9" w:rsidP="00B245B9">
      <w:pPr>
        <w:spacing w:before="360" w:after="360"/>
        <w:jc w:val="both"/>
        <w:rPr>
          <w:rFonts w:ascii="Times New Roman" w:hAnsi="Times New Roman" w:cs="Times New Roman"/>
          <w:sz w:val="24"/>
          <w:szCs w:val="24"/>
        </w:rPr>
      </w:pPr>
      <w:r>
        <w:rPr>
          <w:rFonts w:ascii="Times New Roman" w:hAnsi="Times New Roman" w:cs="Times New Roman"/>
          <w:sz w:val="24"/>
          <w:szCs w:val="24"/>
        </w:rPr>
        <w:lastRenderedPageBreak/>
        <w:t xml:space="preserve">Recomendamos realizar el análisis </w:t>
      </w:r>
      <w:r w:rsidR="00770A84">
        <w:rPr>
          <w:rFonts w:ascii="Times New Roman" w:hAnsi="Times New Roman" w:cs="Times New Roman"/>
          <w:sz w:val="24"/>
          <w:szCs w:val="24"/>
        </w:rPr>
        <w:t>de las comunidades microbianas presentes en el residuo ruminal, puesto que al ocurrir la generación de</w:t>
      </w:r>
      <w:r>
        <w:rPr>
          <w:rFonts w:ascii="Times New Roman" w:hAnsi="Times New Roman" w:cs="Times New Roman"/>
          <w:sz w:val="24"/>
          <w:szCs w:val="24"/>
        </w:rPr>
        <w:t xml:space="preserve"> AGV </w:t>
      </w:r>
      <w:r w:rsidR="00770A84">
        <w:rPr>
          <w:rFonts w:ascii="Times New Roman" w:hAnsi="Times New Roman" w:cs="Times New Roman"/>
          <w:sz w:val="24"/>
          <w:szCs w:val="24"/>
        </w:rPr>
        <w:t xml:space="preserve">podría identificarse posible sinergismo del sustrato con el inóculo que maximicen el RMA, así mismo, se recomienda analizar los sustratos con respecto a contenido en lignina pues este carbohidrato minimiza el acceso de los microorganismos a carbohidratos fácilmente degradables como la celulosa y hemicelulosa. </w:t>
      </w: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Default="00770A84" w:rsidP="00B245B9">
      <w:pPr>
        <w:spacing w:before="360" w:after="360"/>
        <w:jc w:val="both"/>
        <w:rPr>
          <w:rFonts w:ascii="Times New Roman" w:hAnsi="Times New Roman" w:cs="Times New Roman"/>
          <w:sz w:val="24"/>
          <w:szCs w:val="24"/>
        </w:rPr>
      </w:pPr>
    </w:p>
    <w:p w:rsidR="00770A84" w:rsidRPr="00B245B9" w:rsidRDefault="00770A84" w:rsidP="00B245B9">
      <w:pPr>
        <w:spacing w:before="360" w:after="360"/>
        <w:jc w:val="both"/>
        <w:rPr>
          <w:rFonts w:ascii="Times New Roman" w:hAnsi="Times New Roman" w:cs="Times New Roman"/>
          <w:sz w:val="24"/>
          <w:szCs w:val="24"/>
        </w:rPr>
      </w:pPr>
    </w:p>
    <w:p w:rsidR="003538F6" w:rsidRPr="00686018" w:rsidRDefault="006C33D0" w:rsidP="00A31608">
      <w:pPr>
        <w:pStyle w:val="Ttulo1"/>
        <w:jc w:val="both"/>
        <w:rPr>
          <w:rFonts w:cs="Times New Roman"/>
        </w:rPr>
      </w:pPr>
      <w:bookmarkStart w:id="291" w:name="_Toc534724626"/>
      <w:bookmarkStart w:id="292" w:name="_Toc534817745"/>
      <w:bookmarkStart w:id="293" w:name="_Toc535410477"/>
      <w:bookmarkStart w:id="294" w:name="_Toc535410513"/>
      <w:bookmarkStart w:id="295" w:name="_Toc9537867"/>
      <w:r w:rsidRPr="00686018">
        <w:rPr>
          <w:rFonts w:cs="Times New Roman"/>
        </w:rPr>
        <w:lastRenderedPageBreak/>
        <w:t>REFERENCIAS</w:t>
      </w:r>
      <w:bookmarkEnd w:id="291"/>
      <w:bookmarkEnd w:id="292"/>
      <w:bookmarkEnd w:id="293"/>
      <w:bookmarkEnd w:id="294"/>
      <w:bookmarkEnd w:id="295"/>
    </w:p>
    <w:p w:rsidR="009450BE" w:rsidRPr="00056941" w:rsidRDefault="00DD537A"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686018">
        <w:rPr>
          <w:rFonts w:ascii="Times New Roman" w:hAnsi="Times New Roman" w:cs="Times New Roman"/>
          <w:lang w:val="en-US"/>
        </w:rPr>
        <w:fldChar w:fldCharType="begin" w:fldLock="1"/>
      </w:r>
      <w:r w:rsidRPr="00686018">
        <w:rPr>
          <w:rFonts w:ascii="Times New Roman" w:hAnsi="Times New Roman" w:cs="Times New Roman"/>
        </w:rPr>
        <w:instrText xml:space="preserve">ADDIN Mendeley Bibliography CSL_BIBLIOGRAPHY </w:instrText>
      </w:r>
      <w:r w:rsidRPr="00686018">
        <w:rPr>
          <w:rFonts w:ascii="Times New Roman" w:hAnsi="Times New Roman" w:cs="Times New Roman"/>
          <w:lang w:val="en-US"/>
        </w:rPr>
        <w:fldChar w:fldCharType="separate"/>
      </w:r>
      <w:r w:rsidR="009450BE" w:rsidRPr="009450BE">
        <w:rPr>
          <w:rFonts w:ascii="Times New Roman" w:hAnsi="Times New Roman" w:cs="Times New Roman"/>
          <w:noProof/>
          <w:szCs w:val="24"/>
        </w:rPr>
        <w:t xml:space="preserve">Acosta, N; De Vrieze, J; Sandoval, V; Sinche, D; Wierinck, I; Rabaey, K. 2018. </w:t>
      </w:r>
      <w:r w:rsidR="009450BE" w:rsidRPr="00056941">
        <w:rPr>
          <w:rFonts w:ascii="Times New Roman" w:hAnsi="Times New Roman" w:cs="Times New Roman"/>
          <w:noProof/>
          <w:szCs w:val="24"/>
          <w:lang w:val="en-US"/>
        </w:rPr>
        <w:t>Cocoa residues as viable biomass for renewable energy production through anaerobic digestion (en línea). Bioresource Technology 265:568-572. DOI: https://doi.org/10.1016/j.biortech.2018.05.100.</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056941">
        <w:rPr>
          <w:rFonts w:ascii="Times New Roman" w:hAnsi="Times New Roman" w:cs="Times New Roman"/>
          <w:noProof/>
          <w:szCs w:val="24"/>
          <w:lang w:val="en-US"/>
        </w:rPr>
        <w:t xml:space="preserve">Aguilar, MC; Wang, YD; Roskilly, T; Pathare, PB; Lamidi, RO. 2017. Biogas from anaerobic co-digestion of food waste and primary sludge for cogeneration of power and heat (en línea). </w:t>
      </w:r>
      <w:r w:rsidRPr="009450BE">
        <w:rPr>
          <w:rFonts w:ascii="Times New Roman" w:hAnsi="Times New Roman" w:cs="Times New Roman"/>
          <w:noProof/>
          <w:szCs w:val="24"/>
        </w:rPr>
        <w:t>Energy Procedia 142:70-76. DOI: https://doi.org/10.1016/j.egypro.2017.12.012.</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9450BE">
        <w:rPr>
          <w:rFonts w:ascii="Times New Roman" w:hAnsi="Times New Roman" w:cs="Times New Roman"/>
          <w:noProof/>
          <w:szCs w:val="24"/>
        </w:rPr>
        <w:t>Ame, ME; El, M; Oxitop, S; Principales, IDELAS. 2011. PUESTA A PUNTO DE UNA DETERMINACIÓN DE LA ACTIVIDAD VARIABLES EXPERIMENTALES . .</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9450BE">
        <w:rPr>
          <w:rFonts w:ascii="Times New Roman" w:hAnsi="Times New Roman" w:cs="Times New Roman"/>
          <w:noProof/>
          <w:szCs w:val="24"/>
        </w:rPr>
        <w:t xml:space="preserve">Angelidaki, I; Alves, M; Bolzonella, D; Borzacconi, L; Campos, JL; Guwy, AJ; Kalyuzhnyi, S; Jenicek, P; Van Lier, JB. 2009. </w:t>
      </w:r>
      <w:r w:rsidRPr="00056941">
        <w:rPr>
          <w:rFonts w:ascii="Times New Roman" w:hAnsi="Times New Roman" w:cs="Times New Roman"/>
          <w:noProof/>
          <w:szCs w:val="24"/>
          <w:lang w:val="en-US"/>
        </w:rPr>
        <w:t>Defining the biomethane potential (BMP) of solid organic wastes and energy crops: A proposed protocol for batch assays. Water Science and Technology 59(5):927-934. DOI: https://doi.org/10.2166/wst.2009.040.</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Appels, L; Baeyens, J; Degrève, J; Dewil, R. 2008. Principles and potential of the anaerobic digestion of waste-activated sludge. Progress in Energy and Combustion Science 34(6):755-781. DOI: https://doi.org/10.1016/j.pecs.2008.06.002.</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Babaee, A; Shayegan, J. 2011. Effect of Organic Loading Rates (OLR) on Production of Methane from Anaerobic Digestion of Vegetables Waste (en línea). :411-417. DOI: https://doi.org/10.3384/ecp11057411.</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Batstone, DJ; Tait, S; Starrenburg, D. 2009. Estimation of hydrolysis parameters in full-scale anerobic digesters. Biotechnology and Bioengineering 102(5):1513-1520. DOI: https://doi.org/10.1002/bit.22163.</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Boe, K. 2006. Online monitoring and control of the biogas process (en línea). s.l., s.e. 66 p. DOI: https://doi.org/nei-dk-4757.pdf.</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Bond, T; Templeton, MR. 2011. History and future of domestic biogas plants in the developing world (en línea). Energy for Sustainable Development 15(4):347-354. DOI: https://doi.org/10.1016/j.esd.2011.09.003.</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Buswell, M; Muellepi, HF. 1952. Mechanis of Methane Fermentation. Industrial and Engineering Chemistry 44(3):550-552. DOI: https://doi.org/10.1021/ie50507a033.</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Cheng, XY; Zhong, C. 2014. Effects of feed to inoculum ratio, co-digestion, and pretreatment on biogas production from anaerobic digestion of cotton stalk. Energy and Fuels 28(5):3157-3166. DOI: https://doi.org/10.1021/ef402562z.</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056941">
        <w:rPr>
          <w:rFonts w:ascii="Times New Roman" w:hAnsi="Times New Roman" w:cs="Times New Roman"/>
          <w:noProof/>
          <w:szCs w:val="24"/>
          <w:lang w:val="en-US"/>
        </w:rPr>
        <w:t xml:space="preserve">Cifras Agroproductivas. </w:t>
      </w:r>
      <w:r w:rsidRPr="009450BE">
        <w:rPr>
          <w:rFonts w:ascii="Times New Roman" w:hAnsi="Times New Roman" w:cs="Times New Roman"/>
          <w:noProof/>
          <w:szCs w:val="24"/>
        </w:rPr>
        <w:t>2019. (en línea, sitio web). Consultado 13 may 2019. Disponible en http://sipa.agricultura.gob.ec/index.php/cifras-agroproductivas.</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056941">
        <w:rPr>
          <w:rFonts w:ascii="Times New Roman" w:hAnsi="Times New Roman" w:cs="Times New Roman"/>
          <w:noProof/>
          <w:szCs w:val="24"/>
          <w:lang w:val="en-US"/>
        </w:rPr>
        <w:t xml:space="preserve">Dai, B; Xu, J; He, Y; Xiong, P; Wang, X; Deng, Y; Wang, Y; Yin, Z. 2015. Acid inhibition during anaerobic digestion of biodegradable kitchen waste. Journal of Renewable and Sustainable Energy 7(2):1-10. </w:t>
      </w:r>
      <w:r w:rsidRPr="009450BE">
        <w:rPr>
          <w:rFonts w:ascii="Times New Roman" w:hAnsi="Times New Roman" w:cs="Times New Roman"/>
          <w:noProof/>
          <w:szCs w:val="24"/>
        </w:rPr>
        <w:t>DOI: https://doi.org/10.1063/1.4918281.</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9450BE">
        <w:rPr>
          <w:rFonts w:ascii="Times New Roman" w:hAnsi="Times New Roman" w:cs="Times New Roman"/>
          <w:noProof/>
          <w:szCs w:val="24"/>
        </w:rPr>
        <w:t xml:space="preserve">Deepanraj, B; Sivasubramanian, V; Jayaraj, S. 2015. </w:t>
      </w:r>
      <w:r w:rsidRPr="00056941">
        <w:rPr>
          <w:rFonts w:ascii="Times New Roman" w:hAnsi="Times New Roman" w:cs="Times New Roman"/>
          <w:noProof/>
          <w:szCs w:val="24"/>
          <w:lang w:val="en-US"/>
        </w:rPr>
        <w:t>Kinetic study on the effect of temperature on biogas production using a lab scale batch reactor (en línea). Ecotoxicology and Environmental Safety 121:100-104. DOI: https://doi.org/10.1016/j.ecoenv.2015.04.051.</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lastRenderedPageBreak/>
        <w:t>Ebner, JH; Labatut, RA; Lodge, JS; Williamson, AA; Trabold, TA. 2016. Anaerobic co-digestion of commercial food waste and dairy manure: Characterizing biochemical parameters and synergistic effects (en línea). Waste Management 52:286-294. DOI: https://doi.org/10.1016/j.wasman.2016.03.046.</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El-Mashad, HM. 2013. Kinetics of methane production from the codigestion of switchgrass and Spirulina platensis algae (en línea). Bioresource Technology 132:305-312. DOI: https://doi.org/10.1016/j.biortech.2012.12.183.</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Esposito, G.; Frunzo, L.; Liotta, F.; Panico, A.; Pirozzi, F. 2012. Bio-Methane Potential Tests To Measure The Biogas Production From The Digestion and Co-Digestion of Complex Organic Substrates. The Open Environmental Engineering Journal 5:1-8. DOI: https://doi.org/10.2174/1874829501205010001.</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Gaibor-Chávez, J; Niño-Ruiz, Z; Velázquez-Martí, B; Lucio-Quintana, A. 2018. Viability of Biogas Production and Determination of Bacterial Kinetics in Anaerobic Co-digestion of Cabbage Waste and Livestock Manure (en línea). Waste and Biomass Valorization 0(0):1-9. DOI: https://doi.org/10.1007/s12649-018-0228-7.</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Galgani, P; van der Voet, E; Korevaar, G. 2014. Composting, anaerobic digestion and biochar production in Ghana. Environmental-economic assessment in the context of voluntary carbon markets (en línea). Waste Management 34(12):2454-2465. DOI: https://doi.org/10.1016/j.wasman.2014.07.027.</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 xml:space="preserve">Gould, MC. 2015. Chapter 18 - Bioenergy and Anaerobic Digestion (en línea). </w:t>
      </w:r>
      <w:r w:rsidRPr="00056941">
        <w:rPr>
          <w:rFonts w:ascii="Times New Roman" w:hAnsi="Times New Roman" w:cs="Times New Roman"/>
          <w:i/>
          <w:iCs/>
          <w:noProof/>
          <w:szCs w:val="24"/>
          <w:lang w:val="en-US"/>
        </w:rPr>
        <w:t>In</w:t>
      </w:r>
      <w:r w:rsidRPr="00056941">
        <w:rPr>
          <w:rFonts w:ascii="Times New Roman" w:hAnsi="Times New Roman" w:cs="Times New Roman"/>
          <w:noProof/>
          <w:szCs w:val="24"/>
          <w:lang w:val="en-US"/>
        </w:rPr>
        <w:t xml:space="preserve"> </w:t>
      </w:r>
      <w:r w:rsidRPr="00056941">
        <w:rPr>
          <w:rFonts w:ascii="Times New Roman" w:hAnsi="Times New Roman" w:cs="Times New Roman"/>
          <w:i/>
          <w:iCs/>
          <w:noProof/>
          <w:szCs w:val="24"/>
          <w:lang w:val="en-US"/>
        </w:rPr>
        <w:t>Dahiya, ABT-B (ed.)</w:t>
      </w:r>
      <w:r w:rsidRPr="00056941">
        <w:rPr>
          <w:rFonts w:ascii="Times New Roman" w:hAnsi="Times New Roman" w:cs="Times New Roman"/>
          <w:noProof/>
          <w:szCs w:val="24"/>
          <w:lang w:val="en-US"/>
        </w:rPr>
        <w:t>. Boston, Academic Press. p. 297-317 DOI: https://doi.org/https://doi.org/10.1016/B978-0-12-407909-0.00018-3.</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9450BE">
        <w:rPr>
          <w:rFonts w:ascii="Times New Roman" w:hAnsi="Times New Roman" w:cs="Times New Roman"/>
          <w:noProof/>
          <w:szCs w:val="24"/>
        </w:rPr>
        <w:t xml:space="preserve">Hagos, K; Zong, J; Li, D; Liu, C; Lu, X. 2017. </w:t>
      </w:r>
      <w:r w:rsidRPr="00056941">
        <w:rPr>
          <w:rFonts w:ascii="Times New Roman" w:hAnsi="Times New Roman" w:cs="Times New Roman"/>
          <w:noProof/>
          <w:szCs w:val="24"/>
          <w:lang w:val="en-US"/>
        </w:rPr>
        <w:t>Anaerobic co-digestion process for biogas production: Progress, challenges and perspectives (en línea). Renewable and Sustainable Energy Reviews 76(September):1485-1496. DOI: https://doi.org/10.1016/j.rser.2016.11.184.</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056941">
        <w:rPr>
          <w:rFonts w:ascii="Times New Roman" w:hAnsi="Times New Roman" w:cs="Times New Roman"/>
          <w:noProof/>
          <w:szCs w:val="24"/>
          <w:lang w:val="en-US"/>
        </w:rPr>
        <w:t xml:space="preserve">Holliger, C; Alves, M; Andrade, D; Angelidaki, I; Astals, S; Baier, U; Bougrier, C; Buffière, P; Carballa, M; De Wilde, V; Ebertseder, F; Fernández, B; Ficara, E; Fotidis, I; Frigon, JC; De Laclos, HF; Ghasimi, DSM; Hack, G; Hartel, M; Heerenklage, J; Horvath, IS; Jenicek, P; Koch, K; Krautwald, J; Lizasoain, J; Liu, J; Mosberger, L; Nistor, M; Oechsner, H; Oliveira, JV; Paterson, M; Pauss, A; Pommier, S; Porqueddu, I; Raposo, F; Ribeiro, T; Pfund, FR; Strömberg, S; Torrijos, M; Van Eekert, M; Van Lier, J; Wedwitschka, H; Wierinck, I. 2016. Towards a standardization of biomethane potential tests. Water Science and Technology 74(11):2515-2522. </w:t>
      </w:r>
      <w:r w:rsidRPr="009450BE">
        <w:rPr>
          <w:rFonts w:ascii="Times New Roman" w:hAnsi="Times New Roman" w:cs="Times New Roman"/>
          <w:noProof/>
          <w:szCs w:val="24"/>
        </w:rPr>
        <w:t>DOI: https://doi.org/10.2166/wst.2016.336.</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9450BE">
        <w:rPr>
          <w:rFonts w:ascii="Times New Roman" w:hAnsi="Times New Roman" w:cs="Times New Roman"/>
          <w:noProof/>
          <w:szCs w:val="24"/>
        </w:rPr>
        <w:t xml:space="preserve">Holm-Nielsen, JB; Al Seadi, T; Oleskowicz-Popiel, P. 2009. </w:t>
      </w:r>
      <w:r w:rsidRPr="00056941">
        <w:rPr>
          <w:rFonts w:ascii="Times New Roman" w:hAnsi="Times New Roman" w:cs="Times New Roman"/>
          <w:noProof/>
          <w:szCs w:val="24"/>
          <w:lang w:val="en-US"/>
        </w:rPr>
        <w:t>The future of anaerobic digestion and biogas utilization (en línea). Bioresource Technology 100(22):5478-5484. DOI: https://doi.org/10.1016/j.biortech.2008.12.046.</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Kafle, GK; Chen, L. 2016. Comparison on batch anaerobic digestion of five different livestock manures and prediction of biochemical methane potential (BMP) using different statistical models (en línea). Waste Management 48:492-502. DOI: https://doi.org/10.1016/j.wasman.2015.10.021.</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Kallistova, AY; Goel, G; Nozhevnikova, AN. 2014. Microbial diversity of methanogenic communities in the systems for anaerobic treatment of organic waste (en línea). Microbiology 83(5):462-483. DOI: https://doi.org/10.1134/S0026261714050142.</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 xml:space="preserve">Karim, K; Hoffmann, R; Klasson, T; Al-Dahhan, MH. 2005. Anaerobic digestion of animal </w:t>
      </w:r>
      <w:r w:rsidRPr="00056941">
        <w:rPr>
          <w:rFonts w:ascii="Times New Roman" w:hAnsi="Times New Roman" w:cs="Times New Roman"/>
          <w:noProof/>
          <w:szCs w:val="24"/>
          <w:lang w:val="en-US"/>
        </w:rPr>
        <w:lastRenderedPageBreak/>
        <w:t>waste: Waste strength versus impact of mixing. Bioresource Technology 96(16):1771-1781. DOI: https://doi.org/10.1016/j.biortech.2005.01.020.</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Kim, JK; Oh, BR; Chun, YN; Kim, SW. 2006. Effects of temperature and hydraulic retention time on anaerobic digestion of food waste (en línea). Journal of Bioscience and Bioengineering 102(4):328-332. DOI: https://doi.org/10.1263/jbb.102.328.</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Kong, X; Yu, S; Xu, S; Fang, W; Liu, J; Li, H. 2018. Effect of Fe0addition on volatile fatty acids evolution on anaerobic digestion at high organic loading rates (en línea). Waste Management 71:719-727. DOI: https://doi.org/10.1016/j.wasman.2017.03.019.</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Kwietniewska, E; Tys, J. 2014. Process characteristics, inhibition factors and methane yields of anaerobic digestion process, with particular focus on microalgal biomass fermentation (en línea). Renewable and Sustainable Energy Reviews 34:491-500. DOI: https://doi.org/10.1016/j.rser.2014.03.041.</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Lesteur, M; Bellon-Maurel, V; Gonzalez, C; Latrille, E; Roger, JM; Junqua, G; Steyer, JP. 2010. Alternative methods for determining anaerobic biodegradability: A review (en línea). Process Biochemistry 45(4):431-440. DOI: https://doi.org/10.1016/j.procbio.2009.11.018.</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Li, L; Kong, X; Yang, F; Li, D; Yuan, Z; Sun, Y. 2012. Biogas production potential and kinetics of microwave and conventional thermal pretreatment of grass. Applied Biochemistry and Biotechnology 166(5):1183-1191. DOI: https://doi.org/10.1007/s12010-011-9503-9.</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Li, W; Khalid, H; Zhu, Z; Zhang, R; Liu, G; Chen, C; Thorin, E. 2018. Methane production through anaerobic digestion: Participation and digestion characteristics of cellulose, hemicellulose and lignin (en línea). Applied Energy 226(January):1219-1228. DOI: https://doi.org/10.1016/j.apenergy.2018.05.055.</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Li, W; Siddhu, MAH; Amin, FR; He, Y; Zhang, R; Liu, G; Chen, C. 2018. Methane production through anaerobic co-digestion of sheep dung and waste paper (en línea). Energy Conversion and Management 156(July 2017):279-287. DOI: https://doi.org/10.1016/j.enconman.2017.08.002.</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Li, X; Li, L; Zheng, M; Fu, G; Lar, JS. 2009. Anaerobic co-digestion of cattle manure with corn stover pretreated by sodium hydroxide for efficient biogas production. Energy and Fuels 23(9):4635-4639. DOI: https://doi.org/10.1021/ef900384p.</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Li, Y; Feng, L; Zhang, R; He, Y; Liu, X; Xiao, X; Ma, X; Chen, C; Liu, G. 2013. Influence of inoculum source and pre-incubation on bio-methane potential of chicken manure and corn stover. Applied Biochemistry and Biotechnology 171(1):117-127. DOI: https://doi.org/10.1007/s12010-013-0335-7.</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Li, Y; Wang, Y; Yu, Z; Lu, J; Li, D; Wang, G; Li, Y; Wu, Y; Li, S; Xu, F; Li, G; Gong, X. 2018. Effect of inoculum and substrate/inoculum ratio on the performance and methanogenic archaeal community structure in solid state anaerobic co-digestion of tomato residues with dairy manure and corn stover. Waste Management 81:117-127. DOI: https://doi.org/10.1016/j.wasman.2018.09.042.</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Monod, J. 1949. a Certain Number. Annual Reviews in M 3(Xl):371-394. DOI: https://doi.org/https://doi.org/10.1146/annurev.mi.03.100149.002103.</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Mottet, A; Ramirez, I; Carrère, H; Déléris, S; Vedrenne, F; Jimenez, J; Steyer, JP. 2013. New fractionation for a better bioaccessibility description of particulate organic matter in a modified ADM1 model (en línea). Chemical Engineering Journal 228:871-881. DOI: https://doi.org/10.1016/j.cej.2013.05.082.</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lastRenderedPageBreak/>
        <w:t>Neshat, SA; Mohammadi, M; Najafpour, GD; Lahijani, P. 2017. Anaerobic co-digestion of animal manures and lignocellulosic residues as a potent approach for sustainable biogas production (en línea). Renewable and Sustainable Energy Reviews 79(July 2016):308-322. DOI: https://doi.org/10.1016/j.rser.2017.05.137.</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Owen, WF; Stuckey, DC; Healy, JB; Young, LY; McCarty, PL. 1979. Bioassay for monitoring biochemical methane potential and anaerobic toxicity. Water Research 13(6):485-492. DOI: https://doi.org/10.1016/0043-1354(79)90043-5.</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Paudel, SR; Banjara, SP; Choi, OK; Park, KY; Kim, YM; Lee, JW. 2017. Pretreatment of agricultural biomass for anaerobic digestion: Current state and challenges (en línea). Bioresource Technology 245:1194-1205. DOI: https://doi.org/10.1016/j.biortech.2017.08.182.</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Pind, PF; Angelidaki, I; Ahring, BK; Stamatelatou, K; Lyberatos, G. 2003. Monitoring and Control of Anaerobic Reactors (en línea). 82:135-182. DOI: https://doi.org/10.1007/3-540-45838-7_4.</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056941">
        <w:rPr>
          <w:rFonts w:ascii="Times New Roman" w:hAnsi="Times New Roman" w:cs="Times New Roman"/>
          <w:noProof/>
          <w:szCs w:val="24"/>
          <w:lang w:val="en-US"/>
        </w:rPr>
        <w:t xml:space="preserve">Poulsen, TG; Adelard, L. 2016. Improving biogas quality and methane yield via co-digestion of agricultural and urban biomass wastes (en línea). </w:t>
      </w:r>
      <w:r w:rsidRPr="009450BE">
        <w:rPr>
          <w:rFonts w:ascii="Times New Roman" w:hAnsi="Times New Roman" w:cs="Times New Roman"/>
          <w:noProof/>
          <w:szCs w:val="24"/>
        </w:rPr>
        <w:t>Waste Management 54:118-125. DOI: https://doi.org/10.1016/j.wasman.2016.05.020.</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9450BE">
        <w:rPr>
          <w:rFonts w:ascii="Times New Roman" w:hAnsi="Times New Roman" w:cs="Times New Roman"/>
          <w:noProof/>
          <w:szCs w:val="24"/>
        </w:rPr>
        <w:t xml:space="preserve">Raposo, F; Borja, R; Martín, MA; Martín, A; de la Rubia, MA; Rincón, B. 2009. </w:t>
      </w:r>
      <w:r w:rsidRPr="00056941">
        <w:rPr>
          <w:rFonts w:ascii="Times New Roman" w:hAnsi="Times New Roman" w:cs="Times New Roman"/>
          <w:noProof/>
          <w:szCs w:val="24"/>
          <w:lang w:val="en-US"/>
        </w:rPr>
        <w:t>Influence of inoculum-substrate ratio on the anaerobic digestion of sunflower oil cake in batch mode: Process stability and kinetic evaluation. Chemical Engineering Journal 149(1-3):70-77. DOI: https://doi.org/10.1016/j.cej.2008.10.001.</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Rodriguez, C; Alaswad, A; Benyounis, KY; Olabi, AG. 2017. Pretreatment techniques used in biogas production from grass (en línea). Renewable and Sustainable Energy Reviews 68:1193-1204. DOI: https://doi.org/10.1016/j.rser.2016.02.022.</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Rozzi, A; Remigi, E. 2004. Methods of assessing microbial activity and inhibition under anaerobic conditions: A literature review. Reviews in Environmental Science and Biotechnology 3(2):93-115. DOI: https://doi.org/10.1007/s11157-004-5762-z.</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9450BE">
        <w:rPr>
          <w:rFonts w:ascii="Times New Roman" w:hAnsi="Times New Roman" w:cs="Times New Roman"/>
          <w:noProof/>
          <w:szCs w:val="24"/>
        </w:rPr>
        <w:t>Sarabia Méndez, MA; Laines Canepa, JR; Sosa Olivier, JA; Escalante Espinosa, E. 2017. ProducciÓn de biogÁs mediante codigestiÓn anaerobia de excretas de borrego y rumen adicionadas con lodos procedentes de una planta de aguas residuales. Revista Internacional de Contaminacion Ambiental 33(1):109-116. DOI: https://doi.org/10.20937/RICA.2017.33.01.10.</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Schievano, A; Scaglia, B; D’Imporzano, G; Malagutti, L; Gozzi, A; Adani, F. 2009. Prediction of biogas potentials using quick laboratory analyses: Upgrading previous models for application to heterogeneous organic matrices (en línea). Bioresource Technology 100(23):5777-5782. DOI: https://doi.org/10.1016/j.biortech.2009.05.075.</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056941">
        <w:rPr>
          <w:rFonts w:ascii="Times New Roman" w:hAnsi="Times New Roman" w:cs="Times New Roman"/>
          <w:noProof/>
          <w:szCs w:val="24"/>
          <w:lang w:val="en-US"/>
        </w:rPr>
        <w:t xml:space="preserve">Schwede, S; Bruchmann, F; Thorin, E; Gerber, M. 2017. Biological Syngas Methanation via Immobilized Methanogenic Archaea on Biochar (en línea). </w:t>
      </w:r>
      <w:r w:rsidRPr="009450BE">
        <w:rPr>
          <w:rFonts w:ascii="Times New Roman" w:hAnsi="Times New Roman" w:cs="Times New Roman"/>
          <w:noProof/>
          <w:szCs w:val="24"/>
        </w:rPr>
        <w:t>Energy Procedia 105(0):823-829. DOI: https://doi.org/10.1016/j.egypro.2017.03.396.</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9450BE">
        <w:rPr>
          <w:rFonts w:ascii="Times New Roman" w:hAnsi="Times New Roman" w:cs="Times New Roman"/>
          <w:noProof/>
          <w:szCs w:val="24"/>
        </w:rPr>
        <w:t xml:space="preserve">Sciencebio, R. 2016. </w:t>
      </w:r>
      <w:r w:rsidRPr="00056941">
        <w:rPr>
          <w:rFonts w:ascii="Times New Roman" w:hAnsi="Times New Roman" w:cs="Times New Roman"/>
          <w:noProof/>
          <w:szCs w:val="24"/>
          <w:lang w:val="en-US"/>
        </w:rPr>
        <w:t>Assessment of the anaerobic biodegradability of macropollutants . Rev Environ Sci Bio / Tech. (February):117-129. DOI: https://doi.org/10.1007/s11157-004-2502-3.</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 xml:space="preserve">Shen, F; Li, H; Wu, X; Wang, Y; Zhang, Q. 2018. Effect of organic loading rate on anaerobic co-digestion of rice straw and pig manure with or without biological pretreatment (en línea). Bioresource Technology 250:155-162. DOI: </w:t>
      </w:r>
      <w:r w:rsidRPr="00056941">
        <w:rPr>
          <w:rFonts w:ascii="Times New Roman" w:hAnsi="Times New Roman" w:cs="Times New Roman"/>
          <w:noProof/>
          <w:szCs w:val="24"/>
          <w:lang w:val="en-US"/>
        </w:rPr>
        <w:lastRenderedPageBreak/>
        <w:t>https://doi.org/10.1016/j.biortech.2017.11.037.</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Sun, L; Pope, PB; Eijsink, VGH; Schnürer, A. 2015. Characterization of microbial community structure during continuous anaerobic digestion of straw and cow manure. Microbial Biotechnology 8(5):815-827. DOI: https://doi.org/10.1111/1751-7915.12298.</w:t>
      </w:r>
    </w:p>
    <w:p w:rsidR="009450BE" w:rsidRPr="009450BE" w:rsidRDefault="009450BE" w:rsidP="00A31608">
      <w:pPr>
        <w:widowControl w:val="0"/>
        <w:autoSpaceDE w:val="0"/>
        <w:autoSpaceDN w:val="0"/>
        <w:adjustRightInd w:val="0"/>
        <w:spacing w:line="240" w:lineRule="auto"/>
        <w:jc w:val="both"/>
        <w:rPr>
          <w:rFonts w:ascii="Times New Roman" w:hAnsi="Times New Roman" w:cs="Times New Roman"/>
          <w:noProof/>
          <w:szCs w:val="24"/>
        </w:rPr>
      </w:pPr>
      <w:r w:rsidRPr="00E169D1">
        <w:rPr>
          <w:rFonts w:ascii="Times New Roman" w:hAnsi="Times New Roman" w:cs="Times New Roman"/>
          <w:noProof/>
          <w:szCs w:val="24"/>
          <w:lang w:val="en-US"/>
        </w:rPr>
        <w:t xml:space="preserve">Torres, P; Perez, A. 2010. </w:t>
      </w:r>
      <w:r w:rsidRPr="009450BE">
        <w:rPr>
          <w:rFonts w:ascii="Times New Roman" w:hAnsi="Times New Roman" w:cs="Times New Roman"/>
          <w:noProof/>
          <w:szCs w:val="24"/>
        </w:rPr>
        <w:t>Actividad Metanogénica específica: una herramienta de control y optimización de sistemas de tratamiento anaerobio de aguas residuales (en línea). Ingeniería de Recursos Naturales y del Ambiente 9:5-14. DOI: https://doi.org/10.1016/j.nedt.2015.08.004.</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Tufaner, F; Avşar, Y. 2016. Effects of co-substrate on biogas production from cattle manure: a review. International Journal of Environmental Science and Technology 13(9):2303-2312. DOI: https://doi.org/10.1007/s13762-016-1069-1.</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9450BE">
        <w:rPr>
          <w:rFonts w:ascii="Times New Roman" w:hAnsi="Times New Roman" w:cs="Times New Roman"/>
          <w:noProof/>
          <w:szCs w:val="24"/>
        </w:rPr>
        <w:t xml:space="preserve">Valero, D; Montes, JA; Rico, JL; Rico, C. 2016. </w:t>
      </w:r>
      <w:r w:rsidRPr="00056941">
        <w:rPr>
          <w:rFonts w:ascii="Times New Roman" w:hAnsi="Times New Roman" w:cs="Times New Roman"/>
          <w:noProof/>
          <w:szCs w:val="24"/>
          <w:lang w:val="en-US"/>
        </w:rPr>
        <w:t>Influence of headspace pressure on methane production in Biochemical Methane Potential (BMP) tests. Waste Management 48:193-198. DOI: https://doi.org/10.1016/j.wasman.2015.11.012.</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Vavilin, VA; Fernandez, B; Palatsi, J; Flotats, X. 2008. Hydrolysis kinetics in anaerobic degradation of particulate organic material: An overview. Waste Management 28(6):939-951. DOI: https://doi.org/10.1016/j.wasman.2007.03.028.</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Velázquez-martí, B; Meneses-quelal, OW; Gaibor-chavez, J; Niño-ruiz, Z. s. f. Review of Mathematical Models for the Anaerobic Digestion Process. :1-20.</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Yoon, YM; Kim, SH; Shin, KS; Kim, CH. 2014. Effects of substrate to inoculum ratio on the biochemical methane potential of piggery slaughterhouse wastes. Asian-Australasian Journal of Animal Sciences 27(4):600-607. DOI: https://doi.org/10.5713/ajas.2013.13537.</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szCs w:val="24"/>
          <w:lang w:val="en-US"/>
        </w:rPr>
      </w:pPr>
      <w:r w:rsidRPr="00056941">
        <w:rPr>
          <w:rFonts w:ascii="Times New Roman" w:hAnsi="Times New Roman" w:cs="Times New Roman"/>
          <w:noProof/>
          <w:szCs w:val="24"/>
          <w:lang w:val="en-US"/>
        </w:rPr>
        <w:t>Zahan, Z; Othman, MZ; Muster, TH. 2018. Anaerobic digestion/co-digestion kinetic potentials of different agro-industrial wastes: A comparative batch study for C/N optimisation (en línea). Waste Management 71:663-674. DOI: https://doi.org/10.1016/j.wasman.2017.08.014.</w:t>
      </w:r>
    </w:p>
    <w:p w:rsidR="009450BE" w:rsidRPr="00056941" w:rsidRDefault="009450BE" w:rsidP="00A31608">
      <w:pPr>
        <w:widowControl w:val="0"/>
        <w:autoSpaceDE w:val="0"/>
        <w:autoSpaceDN w:val="0"/>
        <w:adjustRightInd w:val="0"/>
        <w:spacing w:line="240" w:lineRule="auto"/>
        <w:jc w:val="both"/>
        <w:rPr>
          <w:rFonts w:ascii="Times New Roman" w:hAnsi="Times New Roman" w:cs="Times New Roman"/>
          <w:noProof/>
          <w:lang w:val="en-US"/>
        </w:rPr>
      </w:pPr>
      <w:r w:rsidRPr="00056941">
        <w:rPr>
          <w:rFonts w:ascii="Times New Roman" w:hAnsi="Times New Roman" w:cs="Times New Roman"/>
          <w:noProof/>
          <w:szCs w:val="24"/>
          <w:lang w:val="en-US"/>
        </w:rPr>
        <w:t>Zhang, H; Luo, L; Li, W; Wang, X; Sun, Y; Sun, Y; Gong, W. 2018. Optimization of mixing ratio of ammoniated rice straw and food waste co-digestion and impact of trace element supplementation on biogas production. Journal of Material Cycles and Waste Management 20(2):745-753. DOI: https://doi.org/10.1007/s10163-017-0634-0.</w:t>
      </w:r>
    </w:p>
    <w:p w:rsidR="00DF1CDF" w:rsidRDefault="00DD537A" w:rsidP="00A31608">
      <w:pPr>
        <w:jc w:val="both"/>
        <w:rPr>
          <w:rFonts w:ascii="Times New Roman" w:hAnsi="Times New Roman" w:cs="Times New Roman"/>
          <w:lang w:val="en-US"/>
        </w:rPr>
      </w:pPr>
      <w:r w:rsidRPr="00686018">
        <w:rPr>
          <w:rFonts w:ascii="Times New Roman" w:hAnsi="Times New Roman" w:cs="Times New Roman"/>
          <w:lang w:val="en-US"/>
        </w:rPr>
        <w:fldChar w:fldCharType="end"/>
      </w:r>
    </w:p>
    <w:p w:rsidR="00171726" w:rsidRDefault="00171726" w:rsidP="00A31608">
      <w:pPr>
        <w:jc w:val="both"/>
        <w:rPr>
          <w:rFonts w:ascii="Times New Roman" w:hAnsi="Times New Roman" w:cs="Times New Roman"/>
          <w:lang w:val="en-US"/>
        </w:rPr>
      </w:pPr>
    </w:p>
    <w:p w:rsidR="00171726" w:rsidRDefault="00171726" w:rsidP="00A31608">
      <w:pPr>
        <w:jc w:val="both"/>
        <w:rPr>
          <w:rFonts w:ascii="Times New Roman" w:hAnsi="Times New Roman" w:cs="Times New Roman"/>
          <w:lang w:val="en-US"/>
        </w:rPr>
      </w:pPr>
    </w:p>
    <w:p w:rsidR="00171726" w:rsidRDefault="00171726" w:rsidP="00A31608">
      <w:pPr>
        <w:jc w:val="both"/>
        <w:rPr>
          <w:rFonts w:ascii="Times New Roman" w:hAnsi="Times New Roman" w:cs="Times New Roman"/>
          <w:lang w:val="en-US"/>
        </w:rPr>
      </w:pPr>
    </w:p>
    <w:p w:rsidR="00171726" w:rsidRDefault="00171726" w:rsidP="00A31608">
      <w:pPr>
        <w:jc w:val="both"/>
        <w:rPr>
          <w:rFonts w:ascii="Times New Roman" w:hAnsi="Times New Roman" w:cs="Times New Roman"/>
          <w:lang w:val="en-US"/>
        </w:rPr>
      </w:pPr>
    </w:p>
    <w:p w:rsidR="00171726" w:rsidRDefault="00171726" w:rsidP="00A31608">
      <w:pPr>
        <w:jc w:val="both"/>
        <w:rPr>
          <w:rFonts w:ascii="Times New Roman" w:hAnsi="Times New Roman" w:cs="Times New Roman"/>
          <w:lang w:val="en-US"/>
        </w:rPr>
      </w:pPr>
    </w:p>
    <w:p w:rsidR="00171726" w:rsidRDefault="00171726" w:rsidP="00A31608">
      <w:pPr>
        <w:jc w:val="both"/>
        <w:rPr>
          <w:rFonts w:ascii="Times New Roman" w:hAnsi="Times New Roman" w:cs="Times New Roman"/>
          <w:lang w:val="en-US"/>
        </w:rPr>
      </w:pPr>
    </w:p>
    <w:p w:rsidR="00171726" w:rsidRPr="00686018" w:rsidRDefault="00171726" w:rsidP="00A31608">
      <w:pPr>
        <w:jc w:val="both"/>
        <w:rPr>
          <w:rFonts w:ascii="Times New Roman" w:hAnsi="Times New Roman" w:cs="Times New Roman"/>
          <w:lang w:val="en-US"/>
        </w:rPr>
      </w:pPr>
    </w:p>
    <w:p w:rsidR="003538F6" w:rsidRDefault="003538F6" w:rsidP="00A31608">
      <w:pPr>
        <w:pStyle w:val="Ttulo1"/>
        <w:jc w:val="both"/>
        <w:rPr>
          <w:rFonts w:cs="Times New Roman"/>
        </w:rPr>
      </w:pPr>
      <w:bookmarkStart w:id="296" w:name="_Toc534724627"/>
      <w:bookmarkStart w:id="297" w:name="_Toc534817247"/>
      <w:bookmarkStart w:id="298" w:name="_Toc534817435"/>
      <w:bookmarkStart w:id="299" w:name="_Toc534817746"/>
      <w:bookmarkStart w:id="300" w:name="_Toc535410478"/>
      <w:bookmarkStart w:id="301" w:name="_Toc535410514"/>
      <w:bookmarkStart w:id="302" w:name="_Toc9537868"/>
      <w:r w:rsidRPr="00686018">
        <w:rPr>
          <w:rFonts w:cs="Times New Roman"/>
        </w:rPr>
        <w:lastRenderedPageBreak/>
        <w:t>ANEXOS</w:t>
      </w:r>
      <w:bookmarkEnd w:id="296"/>
      <w:bookmarkEnd w:id="297"/>
      <w:bookmarkEnd w:id="298"/>
      <w:bookmarkEnd w:id="299"/>
      <w:bookmarkEnd w:id="300"/>
      <w:bookmarkEnd w:id="301"/>
      <w:bookmarkEnd w:id="302"/>
    </w:p>
    <w:p w:rsidR="00171726" w:rsidRPr="00171726" w:rsidRDefault="00171726" w:rsidP="00171726">
      <w:pPr>
        <w:pStyle w:val="Descripcin"/>
        <w:rPr>
          <w:rFonts w:ascii="Times New Roman" w:hAnsi="Times New Roman" w:cs="Times New Roman"/>
          <w:b/>
          <w:i w:val="0"/>
          <w:sz w:val="24"/>
          <w:szCs w:val="24"/>
        </w:rPr>
      </w:pPr>
      <w:bookmarkStart w:id="303" w:name="_Toc9537929"/>
      <w:r w:rsidRPr="00171726">
        <w:rPr>
          <w:rFonts w:ascii="Times New Roman" w:hAnsi="Times New Roman" w:cs="Times New Roman"/>
          <w:b/>
          <w:i w:val="0"/>
          <w:color w:val="auto"/>
          <w:sz w:val="24"/>
          <w:szCs w:val="24"/>
        </w:rPr>
        <w:t xml:space="preserve">ANEXO </w:t>
      </w:r>
      <w:r w:rsidRPr="00171726">
        <w:rPr>
          <w:rFonts w:ascii="Times New Roman" w:hAnsi="Times New Roman" w:cs="Times New Roman"/>
          <w:b/>
          <w:i w:val="0"/>
          <w:color w:val="auto"/>
          <w:sz w:val="24"/>
          <w:szCs w:val="24"/>
        </w:rPr>
        <w:fldChar w:fldCharType="begin"/>
      </w:r>
      <w:r w:rsidRPr="00171726">
        <w:rPr>
          <w:rFonts w:ascii="Times New Roman" w:hAnsi="Times New Roman" w:cs="Times New Roman"/>
          <w:b/>
          <w:i w:val="0"/>
          <w:color w:val="auto"/>
          <w:sz w:val="24"/>
          <w:szCs w:val="24"/>
        </w:rPr>
        <w:instrText xml:space="preserve"> SEQ ANEXO \* ARABIC </w:instrText>
      </w:r>
      <w:r w:rsidRPr="00171726">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1</w:t>
      </w:r>
      <w:r w:rsidRPr="00171726">
        <w:rPr>
          <w:rFonts w:ascii="Times New Roman" w:hAnsi="Times New Roman" w:cs="Times New Roman"/>
          <w:b/>
          <w:i w:val="0"/>
          <w:color w:val="auto"/>
          <w:sz w:val="24"/>
          <w:szCs w:val="24"/>
        </w:rPr>
        <w:fldChar w:fldCharType="end"/>
      </w:r>
      <w:r w:rsidRPr="00171726">
        <w:rPr>
          <w:rFonts w:ascii="Times New Roman" w:hAnsi="Times New Roman" w:cs="Times New Roman"/>
          <w:b/>
          <w:i w:val="0"/>
          <w:color w:val="auto"/>
          <w:sz w:val="24"/>
          <w:szCs w:val="24"/>
        </w:rPr>
        <w:t xml:space="preserve">. </w:t>
      </w:r>
      <w:r w:rsidRPr="00171726">
        <w:rPr>
          <w:rFonts w:ascii="Times New Roman" w:hAnsi="Times New Roman" w:cs="Times New Roman"/>
          <w:i w:val="0"/>
          <w:color w:val="auto"/>
          <w:sz w:val="24"/>
          <w:szCs w:val="24"/>
        </w:rPr>
        <w:t xml:space="preserve">Mapa de </w:t>
      </w:r>
      <w:r>
        <w:rPr>
          <w:rFonts w:ascii="Times New Roman" w:hAnsi="Times New Roman" w:cs="Times New Roman"/>
          <w:i w:val="0"/>
          <w:color w:val="auto"/>
          <w:sz w:val="24"/>
          <w:szCs w:val="24"/>
        </w:rPr>
        <w:t xml:space="preserve">la </w:t>
      </w:r>
      <w:r w:rsidRPr="00171726">
        <w:rPr>
          <w:rFonts w:ascii="Times New Roman" w:hAnsi="Times New Roman" w:cs="Times New Roman"/>
          <w:i w:val="0"/>
          <w:color w:val="auto"/>
          <w:sz w:val="24"/>
          <w:szCs w:val="24"/>
        </w:rPr>
        <w:t>ubicación de la investigación</w:t>
      </w:r>
      <w:bookmarkEnd w:id="303"/>
    </w:p>
    <w:p w:rsidR="006B3EDC" w:rsidRPr="00686018" w:rsidRDefault="006B3EDC" w:rsidP="00B46DDC">
      <w:pPr>
        <w:jc w:val="center"/>
        <w:rPr>
          <w:rFonts w:ascii="Times New Roman" w:hAnsi="Times New Roman" w:cs="Times New Roman"/>
        </w:rPr>
      </w:pPr>
      <w:r w:rsidRPr="00686018">
        <w:rPr>
          <w:rFonts w:ascii="Times New Roman" w:hAnsi="Times New Roman" w:cs="Times New Roman"/>
          <w:noProof/>
          <w:lang w:eastAsia="es-EC"/>
        </w:rPr>
        <w:drawing>
          <wp:inline distT="0" distB="0" distL="0" distR="0" wp14:anchorId="1FA627C3" wp14:editId="44501CA3">
            <wp:extent cx="4231758" cy="656209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39307" cy="6573796"/>
                    </a:xfrm>
                    <a:prstGeom prst="rect">
                      <a:avLst/>
                    </a:prstGeom>
                    <a:noFill/>
                  </pic:spPr>
                </pic:pic>
              </a:graphicData>
            </a:graphic>
          </wp:inline>
        </w:drawing>
      </w:r>
    </w:p>
    <w:p w:rsidR="006B3EDC" w:rsidRPr="00686018" w:rsidRDefault="006B3EDC" w:rsidP="00A31608">
      <w:pPr>
        <w:jc w:val="both"/>
        <w:rPr>
          <w:rFonts w:ascii="Times New Roman" w:hAnsi="Times New Roman" w:cs="Times New Roman"/>
        </w:rPr>
      </w:pPr>
    </w:p>
    <w:p w:rsidR="006B3EDC" w:rsidRPr="00686018" w:rsidRDefault="006B3EDC" w:rsidP="00A31608">
      <w:pPr>
        <w:jc w:val="both"/>
        <w:rPr>
          <w:rFonts w:ascii="Times New Roman" w:hAnsi="Times New Roman" w:cs="Times New Roman"/>
        </w:rPr>
      </w:pPr>
    </w:p>
    <w:p w:rsidR="00F75E28" w:rsidRDefault="00F75E28" w:rsidP="00A31608">
      <w:pPr>
        <w:jc w:val="both"/>
        <w:rPr>
          <w:rFonts w:ascii="Times New Roman" w:hAnsi="Times New Roman" w:cs="Times New Roman"/>
        </w:rPr>
      </w:pPr>
    </w:p>
    <w:p w:rsidR="00171726" w:rsidRDefault="00171726" w:rsidP="00A31608">
      <w:pPr>
        <w:jc w:val="both"/>
        <w:rPr>
          <w:rFonts w:ascii="Times New Roman" w:hAnsi="Times New Roman" w:cs="Times New Roman"/>
        </w:rPr>
      </w:pPr>
    </w:p>
    <w:p w:rsidR="00171726" w:rsidRPr="00171726" w:rsidRDefault="00171726" w:rsidP="00171726">
      <w:pPr>
        <w:pStyle w:val="Descripcin"/>
        <w:spacing w:before="360" w:after="360"/>
        <w:rPr>
          <w:rFonts w:ascii="Times New Roman" w:hAnsi="Times New Roman" w:cs="Times New Roman"/>
          <w:b/>
          <w:i w:val="0"/>
          <w:color w:val="auto"/>
          <w:sz w:val="24"/>
          <w:szCs w:val="24"/>
        </w:rPr>
      </w:pPr>
      <w:bookmarkStart w:id="304" w:name="_Toc9537930"/>
      <w:r w:rsidRPr="00171726">
        <w:rPr>
          <w:rFonts w:ascii="Times New Roman" w:hAnsi="Times New Roman" w:cs="Times New Roman"/>
          <w:b/>
          <w:i w:val="0"/>
          <w:color w:val="auto"/>
          <w:sz w:val="24"/>
          <w:szCs w:val="24"/>
        </w:rPr>
        <w:lastRenderedPageBreak/>
        <w:t xml:space="preserve">ANEXO </w:t>
      </w:r>
      <w:r w:rsidRPr="00171726">
        <w:rPr>
          <w:rFonts w:ascii="Times New Roman" w:hAnsi="Times New Roman" w:cs="Times New Roman"/>
          <w:b/>
          <w:i w:val="0"/>
          <w:color w:val="auto"/>
          <w:sz w:val="24"/>
          <w:szCs w:val="24"/>
        </w:rPr>
        <w:fldChar w:fldCharType="begin"/>
      </w:r>
      <w:r w:rsidRPr="00171726">
        <w:rPr>
          <w:rFonts w:ascii="Times New Roman" w:hAnsi="Times New Roman" w:cs="Times New Roman"/>
          <w:b/>
          <w:i w:val="0"/>
          <w:color w:val="auto"/>
          <w:sz w:val="24"/>
          <w:szCs w:val="24"/>
        </w:rPr>
        <w:instrText xml:space="preserve"> SEQ ANEXO \* ARABIC </w:instrText>
      </w:r>
      <w:r w:rsidRPr="00171726">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2</w:t>
      </w:r>
      <w:r w:rsidRPr="00171726">
        <w:rPr>
          <w:rFonts w:ascii="Times New Roman" w:hAnsi="Times New Roman" w:cs="Times New Roman"/>
          <w:b/>
          <w:i w:val="0"/>
          <w:color w:val="auto"/>
          <w:sz w:val="24"/>
          <w:szCs w:val="24"/>
        </w:rPr>
        <w:fldChar w:fldCharType="end"/>
      </w:r>
      <w:r w:rsidRPr="00171726">
        <w:rPr>
          <w:rFonts w:ascii="Times New Roman" w:hAnsi="Times New Roman" w:cs="Times New Roman"/>
          <w:b/>
          <w:i w:val="0"/>
          <w:color w:val="auto"/>
          <w:sz w:val="24"/>
          <w:szCs w:val="24"/>
        </w:rPr>
        <w:t xml:space="preserve">. </w:t>
      </w:r>
      <w:r w:rsidRPr="00171726">
        <w:rPr>
          <w:rFonts w:ascii="Times New Roman" w:hAnsi="Times New Roman" w:cs="Times New Roman"/>
          <w:i w:val="0"/>
          <w:color w:val="auto"/>
          <w:sz w:val="24"/>
          <w:szCs w:val="24"/>
        </w:rPr>
        <w:t>Fotografías del proceso experimental</w:t>
      </w:r>
      <w:bookmarkEnd w:id="304"/>
    </w:p>
    <w:p w:rsidR="00913E6A" w:rsidRPr="00686018" w:rsidRDefault="00913E6A" w:rsidP="00A31608">
      <w:pPr>
        <w:pStyle w:val="Prrafodelista"/>
        <w:numPr>
          <w:ilvl w:val="0"/>
          <w:numId w:val="33"/>
        </w:numPr>
        <w:jc w:val="both"/>
        <w:rPr>
          <w:rFonts w:ascii="Times New Roman" w:hAnsi="Times New Roman" w:cs="Times New Roman"/>
          <w:sz w:val="24"/>
          <w:szCs w:val="24"/>
        </w:rPr>
      </w:pPr>
      <w:r w:rsidRPr="00686018">
        <w:rPr>
          <w:rFonts w:ascii="Times New Roman" w:hAnsi="Times New Roman" w:cs="Times New Roman"/>
          <w:b/>
          <w:sz w:val="24"/>
          <w:szCs w:val="24"/>
        </w:rPr>
        <w:t>Recolección de Materias primas</w:t>
      </w:r>
    </w:p>
    <w:tbl>
      <w:tblPr>
        <w:tblStyle w:val="Tablaconcuadrcula"/>
        <w:tblW w:w="0" w:type="auto"/>
        <w:jc w:val="center"/>
        <w:tblLook w:val="04A0" w:firstRow="1" w:lastRow="0" w:firstColumn="1" w:lastColumn="0" w:noHBand="0" w:noVBand="1"/>
      </w:tblPr>
      <w:tblGrid>
        <w:gridCol w:w="3982"/>
        <w:gridCol w:w="3945"/>
      </w:tblGrid>
      <w:tr w:rsidR="00913E6A"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drawing>
                <wp:inline distT="0" distB="0" distL="0" distR="0" wp14:anchorId="506766EA" wp14:editId="29E406B6">
                  <wp:extent cx="2185272" cy="1935718"/>
                  <wp:effectExtent l="0" t="8572" r="0" b="0"/>
                  <wp:docPr id="39" name="Imagen 39" descr="C:\Users\Usuario\Desktop\leer\20181122_11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leer\20181122_11405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15331"/>
                          <a:stretch/>
                        </pic:blipFill>
                        <pic:spPr bwMode="auto">
                          <a:xfrm rot="5400000">
                            <a:off x="0" y="0"/>
                            <a:ext cx="2213337" cy="19605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rsidR="00913E6A" w:rsidRPr="00686018" w:rsidRDefault="00913E6A" w:rsidP="00B46DDC">
            <w:pPr>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drawing>
                <wp:inline distT="0" distB="0" distL="0" distR="0" wp14:anchorId="2BE23695" wp14:editId="2054AA07">
                  <wp:extent cx="1658679" cy="2209977"/>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68143" cy="2222587"/>
                          </a:xfrm>
                          <a:prstGeom prst="rect">
                            <a:avLst/>
                          </a:prstGeom>
                          <a:noFill/>
                        </pic:spPr>
                      </pic:pic>
                    </a:graphicData>
                  </a:graphic>
                </wp:inline>
              </w:drawing>
            </w:r>
          </w:p>
        </w:tc>
      </w:tr>
      <w:tr w:rsidR="00913E6A"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Fotografia 1.- </w:t>
            </w:r>
            <w:r w:rsidRPr="00686018">
              <w:rPr>
                <w:rFonts w:ascii="Times New Roman" w:hAnsi="Times New Roman" w:cs="Times New Roman"/>
                <w:noProof/>
                <w:sz w:val="24"/>
                <w:szCs w:val="24"/>
                <w:lang w:eastAsia="es-EC"/>
              </w:rPr>
              <w:t>Recolección de la paja de trigo</w:t>
            </w:r>
          </w:p>
        </w:tc>
        <w:tc>
          <w:tcPr>
            <w:tcW w:w="4247" w:type="dxa"/>
            <w:vAlign w:val="center"/>
          </w:tcPr>
          <w:p w:rsidR="00913E6A" w:rsidRPr="00686018" w:rsidRDefault="00913E6A" w:rsidP="00B46DDC">
            <w:pPr>
              <w:jc w:val="center"/>
              <w:rPr>
                <w:rFonts w:ascii="Times New Roman" w:hAnsi="Times New Roman" w:cs="Times New Roman"/>
                <w:b/>
                <w:noProof/>
                <w:sz w:val="24"/>
                <w:szCs w:val="24"/>
                <w:lang w:eastAsia="es-EC"/>
              </w:rPr>
            </w:pPr>
            <w:r w:rsidRPr="00686018">
              <w:rPr>
                <w:rFonts w:ascii="Times New Roman" w:hAnsi="Times New Roman" w:cs="Times New Roman"/>
                <w:b/>
                <w:noProof/>
                <w:sz w:val="24"/>
                <w:szCs w:val="24"/>
                <w:lang w:eastAsia="es-EC"/>
              </w:rPr>
              <w:t xml:space="preserve">Fotografia 2.- </w:t>
            </w:r>
            <w:r w:rsidRPr="00686018">
              <w:rPr>
                <w:rFonts w:ascii="Times New Roman" w:hAnsi="Times New Roman" w:cs="Times New Roman"/>
                <w:noProof/>
                <w:sz w:val="24"/>
                <w:szCs w:val="24"/>
                <w:lang w:eastAsia="es-EC"/>
              </w:rPr>
              <w:t>Preparacion de la muestra</w:t>
            </w:r>
          </w:p>
        </w:tc>
      </w:tr>
      <w:tr w:rsidR="00913E6A"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drawing>
                <wp:inline distT="0" distB="0" distL="0" distR="0" wp14:anchorId="6B0B9559" wp14:editId="366D6A20">
                  <wp:extent cx="1419225" cy="2250274"/>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28336" cy="2264720"/>
                          </a:xfrm>
                          <a:prstGeom prst="rect">
                            <a:avLst/>
                          </a:prstGeom>
                          <a:noFill/>
                        </pic:spPr>
                      </pic:pic>
                    </a:graphicData>
                  </a:graphic>
                </wp:inline>
              </w:drawing>
            </w:r>
          </w:p>
        </w:tc>
        <w:tc>
          <w:tcPr>
            <w:tcW w:w="4247" w:type="dxa"/>
            <w:vAlign w:val="center"/>
          </w:tcPr>
          <w:p w:rsidR="00913E6A" w:rsidRPr="00686018" w:rsidRDefault="00913E6A" w:rsidP="00B46DDC">
            <w:pPr>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drawing>
                <wp:inline distT="0" distB="0" distL="0" distR="0" wp14:anchorId="1E8D0B98" wp14:editId="24028203">
                  <wp:extent cx="1849362" cy="228858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r="4154" b="28714"/>
                          <a:stretch/>
                        </pic:blipFill>
                        <pic:spPr bwMode="auto">
                          <a:xfrm>
                            <a:off x="0" y="0"/>
                            <a:ext cx="1920561" cy="2376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3E6A"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sz w:val="24"/>
                <w:szCs w:val="24"/>
              </w:rPr>
            </w:pPr>
            <w:r w:rsidRPr="00686018">
              <w:rPr>
                <w:rFonts w:ascii="Times New Roman" w:hAnsi="Times New Roman" w:cs="Times New Roman"/>
                <w:b/>
                <w:noProof/>
                <w:sz w:val="24"/>
                <w:szCs w:val="24"/>
                <w:lang w:eastAsia="es-EC"/>
              </w:rPr>
              <w:t>Fotografia 3.-</w:t>
            </w:r>
            <w:r w:rsidRPr="00686018">
              <w:rPr>
                <w:rFonts w:ascii="Times New Roman" w:hAnsi="Times New Roman" w:cs="Times New Roman"/>
                <w:sz w:val="24"/>
                <w:szCs w:val="24"/>
              </w:rPr>
              <w:t>Recolección del Residuo Ruminal</w:t>
            </w:r>
          </w:p>
        </w:tc>
        <w:tc>
          <w:tcPr>
            <w:tcW w:w="4247" w:type="dxa"/>
            <w:vAlign w:val="center"/>
          </w:tcPr>
          <w:p w:rsidR="00913E6A" w:rsidRPr="00686018" w:rsidRDefault="00913E6A" w:rsidP="00B46DDC">
            <w:pPr>
              <w:jc w:val="center"/>
              <w:rPr>
                <w:rFonts w:ascii="Times New Roman" w:hAnsi="Times New Roman" w:cs="Times New Roman"/>
                <w:sz w:val="24"/>
                <w:szCs w:val="24"/>
              </w:rPr>
            </w:pPr>
            <w:r w:rsidRPr="00686018">
              <w:rPr>
                <w:rFonts w:ascii="Times New Roman" w:hAnsi="Times New Roman" w:cs="Times New Roman"/>
                <w:b/>
                <w:noProof/>
                <w:sz w:val="24"/>
                <w:szCs w:val="24"/>
                <w:lang w:eastAsia="es-EC"/>
              </w:rPr>
              <w:t>Fotografia 4.-</w:t>
            </w:r>
            <w:r w:rsidRPr="00686018">
              <w:rPr>
                <w:rFonts w:ascii="Times New Roman" w:hAnsi="Times New Roman" w:cs="Times New Roman"/>
                <w:sz w:val="24"/>
                <w:szCs w:val="24"/>
              </w:rPr>
              <w:t>Preparación del Residuo Ruminal</w:t>
            </w:r>
          </w:p>
        </w:tc>
      </w:tr>
    </w:tbl>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jc w:val="both"/>
        <w:rPr>
          <w:rFonts w:ascii="Times New Roman" w:hAnsi="Times New Roman" w:cs="Times New Roman"/>
          <w:b/>
          <w:sz w:val="24"/>
          <w:szCs w:val="24"/>
        </w:rPr>
      </w:pPr>
    </w:p>
    <w:p w:rsidR="00913E6A" w:rsidRPr="00686018" w:rsidRDefault="00913E6A" w:rsidP="00A31608">
      <w:pPr>
        <w:pStyle w:val="Prrafodelista"/>
        <w:numPr>
          <w:ilvl w:val="0"/>
          <w:numId w:val="33"/>
        </w:numPr>
        <w:jc w:val="both"/>
        <w:rPr>
          <w:rFonts w:ascii="Times New Roman" w:hAnsi="Times New Roman" w:cs="Times New Roman"/>
          <w:sz w:val="24"/>
          <w:szCs w:val="24"/>
        </w:rPr>
      </w:pPr>
      <w:r w:rsidRPr="00686018">
        <w:rPr>
          <w:rFonts w:ascii="Times New Roman" w:hAnsi="Times New Roman" w:cs="Times New Roman"/>
          <w:b/>
          <w:sz w:val="24"/>
          <w:szCs w:val="24"/>
        </w:rPr>
        <w:lastRenderedPageBreak/>
        <w:t>Análisis de sustratos</w:t>
      </w:r>
    </w:p>
    <w:tbl>
      <w:tblPr>
        <w:tblStyle w:val="Tablaconcuadrcula"/>
        <w:tblW w:w="0" w:type="auto"/>
        <w:jc w:val="center"/>
        <w:tblLook w:val="04A0" w:firstRow="1" w:lastRow="0" w:firstColumn="1" w:lastColumn="0" w:noHBand="0" w:noVBand="1"/>
      </w:tblPr>
      <w:tblGrid>
        <w:gridCol w:w="3784"/>
        <w:gridCol w:w="4143"/>
      </w:tblGrid>
      <w:tr w:rsidR="00686018" w:rsidRPr="00686018" w:rsidTr="002D50A6">
        <w:trPr>
          <w:jc w:val="center"/>
        </w:trPr>
        <w:tc>
          <w:tcPr>
            <w:tcW w:w="3784" w:type="dxa"/>
            <w:vAlign w:val="center"/>
          </w:tcPr>
          <w:p w:rsidR="00686018" w:rsidRPr="00686018" w:rsidRDefault="00686018"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0F4284FC" wp14:editId="05F46D80">
                  <wp:extent cx="1403497" cy="1873221"/>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19726" cy="1894882"/>
                          </a:xfrm>
                          <a:prstGeom prst="rect">
                            <a:avLst/>
                          </a:prstGeom>
                          <a:noFill/>
                        </pic:spPr>
                      </pic:pic>
                    </a:graphicData>
                  </a:graphic>
                </wp:inline>
              </w:drawing>
            </w:r>
          </w:p>
        </w:tc>
        <w:tc>
          <w:tcPr>
            <w:tcW w:w="4143" w:type="dxa"/>
            <w:vAlign w:val="center"/>
          </w:tcPr>
          <w:p w:rsidR="00686018" w:rsidRPr="00686018" w:rsidRDefault="00686018" w:rsidP="00B46DDC">
            <w:pPr>
              <w:jc w:val="center"/>
              <w:rPr>
                <w:rFonts w:ascii="Times New Roman" w:hAnsi="Times New Roman" w:cs="Times New Roman"/>
                <w:noProof/>
                <w:sz w:val="24"/>
                <w:szCs w:val="24"/>
                <w:lang w:eastAsia="es-EC"/>
              </w:rPr>
            </w:pPr>
            <w:r w:rsidRPr="00686018">
              <w:rPr>
                <w:rFonts w:ascii="Times New Roman" w:eastAsia="Times New Roman" w:hAnsi="Times New Roman" w:cs="Times New Roman"/>
                <w:noProof/>
                <w:color w:val="000000"/>
                <w:sz w:val="24"/>
                <w:szCs w:val="24"/>
                <w:lang w:eastAsia="es-EC"/>
              </w:rPr>
              <w:drawing>
                <wp:inline distT="0" distB="0" distL="0" distR="0" wp14:anchorId="0D197296" wp14:editId="244DA8FB">
                  <wp:extent cx="2052084" cy="1863725"/>
                  <wp:effectExtent l="0" t="0" r="5715" b="31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74739" cy="1884301"/>
                          </a:xfrm>
                          <a:prstGeom prst="rect">
                            <a:avLst/>
                          </a:prstGeom>
                          <a:noFill/>
                        </pic:spPr>
                      </pic:pic>
                    </a:graphicData>
                  </a:graphic>
                </wp:inline>
              </w:drawing>
            </w:r>
          </w:p>
        </w:tc>
      </w:tr>
      <w:tr w:rsidR="00686018" w:rsidRPr="00686018" w:rsidTr="002D50A6">
        <w:trPr>
          <w:jc w:val="center"/>
        </w:trPr>
        <w:tc>
          <w:tcPr>
            <w:tcW w:w="3784" w:type="dxa"/>
            <w:vAlign w:val="center"/>
          </w:tcPr>
          <w:p w:rsidR="00686018"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5</w:t>
            </w:r>
            <w:r w:rsidR="00686018" w:rsidRPr="00686018">
              <w:rPr>
                <w:rFonts w:ascii="Times New Roman" w:hAnsi="Times New Roman" w:cs="Times New Roman"/>
                <w:b/>
                <w:noProof/>
                <w:sz w:val="24"/>
                <w:szCs w:val="24"/>
                <w:lang w:eastAsia="es-EC"/>
              </w:rPr>
              <w:t>.-</w:t>
            </w:r>
            <w:r w:rsidR="00686018" w:rsidRPr="00686018">
              <w:rPr>
                <w:rFonts w:ascii="Times New Roman" w:hAnsi="Times New Roman" w:cs="Times New Roman"/>
                <w:noProof/>
                <w:sz w:val="24"/>
                <w:szCs w:val="24"/>
                <w:lang w:eastAsia="es-EC"/>
              </w:rPr>
              <w:t>Pesado inóculo</w:t>
            </w:r>
          </w:p>
        </w:tc>
        <w:tc>
          <w:tcPr>
            <w:tcW w:w="4143" w:type="dxa"/>
            <w:vAlign w:val="center"/>
          </w:tcPr>
          <w:p w:rsidR="00686018"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6</w:t>
            </w:r>
            <w:r w:rsidR="00686018" w:rsidRPr="00686018">
              <w:rPr>
                <w:rFonts w:ascii="Times New Roman" w:hAnsi="Times New Roman" w:cs="Times New Roman"/>
                <w:b/>
                <w:noProof/>
                <w:sz w:val="24"/>
                <w:szCs w:val="24"/>
                <w:lang w:eastAsia="es-EC"/>
              </w:rPr>
              <w:t>.-</w:t>
            </w:r>
            <w:r w:rsidR="00686018" w:rsidRPr="00686018">
              <w:rPr>
                <w:rFonts w:ascii="Times New Roman" w:hAnsi="Times New Roman" w:cs="Times New Roman"/>
                <w:noProof/>
                <w:sz w:val="24"/>
                <w:szCs w:val="24"/>
                <w:lang w:eastAsia="es-EC"/>
              </w:rPr>
              <w:t>Determinación de humedad</w:t>
            </w:r>
          </w:p>
        </w:tc>
      </w:tr>
      <w:tr w:rsidR="00686018" w:rsidRPr="00686018" w:rsidTr="002D50A6">
        <w:trPr>
          <w:jc w:val="center"/>
        </w:trPr>
        <w:tc>
          <w:tcPr>
            <w:tcW w:w="3784" w:type="dxa"/>
            <w:vAlign w:val="center"/>
          </w:tcPr>
          <w:p w:rsidR="00686018" w:rsidRPr="00686018" w:rsidRDefault="00686018"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52585968" wp14:editId="226ADBC6">
                  <wp:extent cx="2044802" cy="1998921"/>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50127" cy="2004126"/>
                          </a:xfrm>
                          <a:prstGeom prst="rect">
                            <a:avLst/>
                          </a:prstGeom>
                          <a:noFill/>
                        </pic:spPr>
                      </pic:pic>
                    </a:graphicData>
                  </a:graphic>
                </wp:inline>
              </w:drawing>
            </w:r>
          </w:p>
        </w:tc>
        <w:tc>
          <w:tcPr>
            <w:tcW w:w="4143" w:type="dxa"/>
            <w:vAlign w:val="center"/>
          </w:tcPr>
          <w:p w:rsidR="00686018" w:rsidRPr="00686018" w:rsidRDefault="00686018" w:rsidP="00B46DDC">
            <w:pPr>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drawing>
                <wp:inline distT="0" distB="0" distL="0" distR="0" wp14:anchorId="787E1178" wp14:editId="177120EE">
                  <wp:extent cx="1473262" cy="1967746"/>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4395" cy="1969259"/>
                          </a:xfrm>
                          <a:prstGeom prst="rect">
                            <a:avLst/>
                          </a:prstGeom>
                          <a:noFill/>
                        </pic:spPr>
                      </pic:pic>
                    </a:graphicData>
                  </a:graphic>
                </wp:inline>
              </w:drawing>
            </w:r>
          </w:p>
        </w:tc>
      </w:tr>
      <w:tr w:rsidR="00686018" w:rsidRPr="00686018" w:rsidTr="002D50A6">
        <w:trPr>
          <w:jc w:val="center"/>
        </w:trPr>
        <w:tc>
          <w:tcPr>
            <w:tcW w:w="3784" w:type="dxa"/>
            <w:vAlign w:val="center"/>
          </w:tcPr>
          <w:p w:rsidR="00686018"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7</w:t>
            </w:r>
            <w:r w:rsidR="00686018" w:rsidRPr="00686018">
              <w:rPr>
                <w:rFonts w:ascii="Times New Roman" w:hAnsi="Times New Roman" w:cs="Times New Roman"/>
                <w:b/>
                <w:noProof/>
                <w:sz w:val="24"/>
                <w:szCs w:val="24"/>
                <w:lang w:eastAsia="es-EC"/>
              </w:rPr>
              <w:t>.-</w:t>
            </w:r>
            <w:r w:rsidR="00686018" w:rsidRPr="00686018">
              <w:rPr>
                <w:rFonts w:ascii="Times New Roman" w:hAnsi="Times New Roman" w:cs="Times New Roman"/>
                <w:sz w:val="24"/>
                <w:szCs w:val="24"/>
              </w:rPr>
              <w:t>Pesado de sustratos</w:t>
            </w:r>
          </w:p>
        </w:tc>
        <w:tc>
          <w:tcPr>
            <w:tcW w:w="4143" w:type="dxa"/>
            <w:vAlign w:val="center"/>
          </w:tcPr>
          <w:p w:rsidR="00686018" w:rsidRPr="00686018" w:rsidRDefault="002D50A6" w:rsidP="00B46DDC">
            <w:pPr>
              <w:jc w:val="center"/>
              <w:rPr>
                <w:rFonts w:ascii="Times New Roman" w:hAnsi="Times New Roman" w:cs="Times New Roman"/>
                <w:sz w:val="24"/>
                <w:szCs w:val="24"/>
              </w:rPr>
            </w:pPr>
            <w:r>
              <w:rPr>
                <w:rFonts w:ascii="Times New Roman" w:hAnsi="Times New Roman" w:cs="Times New Roman"/>
                <w:b/>
                <w:noProof/>
                <w:sz w:val="24"/>
                <w:szCs w:val="24"/>
                <w:lang w:eastAsia="es-EC"/>
              </w:rPr>
              <w:t>Fotografia 8</w:t>
            </w:r>
            <w:r w:rsidR="00686018" w:rsidRPr="00686018">
              <w:rPr>
                <w:rFonts w:ascii="Times New Roman" w:hAnsi="Times New Roman" w:cs="Times New Roman"/>
                <w:b/>
                <w:noProof/>
                <w:sz w:val="24"/>
                <w:szCs w:val="24"/>
                <w:lang w:eastAsia="es-EC"/>
              </w:rPr>
              <w:t>.-</w:t>
            </w:r>
            <w:r w:rsidR="00686018" w:rsidRPr="00686018">
              <w:rPr>
                <w:rFonts w:ascii="Times New Roman" w:hAnsi="Times New Roman" w:cs="Times New Roman"/>
                <w:sz w:val="24"/>
                <w:szCs w:val="24"/>
              </w:rPr>
              <w:t>Determinación de cenizas</w:t>
            </w:r>
          </w:p>
        </w:tc>
      </w:tr>
      <w:tr w:rsidR="00686018" w:rsidRPr="00686018" w:rsidTr="002D50A6">
        <w:trPr>
          <w:jc w:val="center"/>
        </w:trPr>
        <w:tc>
          <w:tcPr>
            <w:tcW w:w="3784" w:type="dxa"/>
            <w:vAlign w:val="center"/>
          </w:tcPr>
          <w:p w:rsidR="00686018" w:rsidRPr="00686018" w:rsidRDefault="00686018" w:rsidP="00B46DDC">
            <w:pPr>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drawing>
                <wp:inline distT="0" distB="0" distL="0" distR="0" wp14:anchorId="6A091982" wp14:editId="7A248244">
                  <wp:extent cx="1694815" cy="2261870"/>
                  <wp:effectExtent l="0" t="0" r="635"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94815" cy="2261870"/>
                          </a:xfrm>
                          <a:prstGeom prst="rect">
                            <a:avLst/>
                          </a:prstGeom>
                          <a:noFill/>
                        </pic:spPr>
                      </pic:pic>
                    </a:graphicData>
                  </a:graphic>
                </wp:inline>
              </w:drawing>
            </w:r>
          </w:p>
        </w:tc>
        <w:tc>
          <w:tcPr>
            <w:tcW w:w="4143" w:type="dxa"/>
            <w:vAlign w:val="center"/>
          </w:tcPr>
          <w:p w:rsidR="00686018" w:rsidRPr="00686018" w:rsidRDefault="00686018" w:rsidP="00B46DDC">
            <w:pPr>
              <w:jc w:val="center"/>
              <w:rPr>
                <w:rFonts w:ascii="Times New Roman" w:hAnsi="Times New Roman" w:cs="Times New Roman"/>
                <w:sz w:val="24"/>
                <w:szCs w:val="24"/>
              </w:rPr>
            </w:pPr>
            <w:r w:rsidRPr="00686018">
              <w:rPr>
                <w:rFonts w:ascii="Times New Roman" w:hAnsi="Times New Roman" w:cs="Times New Roman"/>
                <w:noProof/>
                <w:sz w:val="24"/>
                <w:szCs w:val="24"/>
                <w:lang w:eastAsia="es-EC"/>
              </w:rPr>
              <w:drawing>
                <wp:inline distT="0" distB="0" distL="0" distR="0" wp14:anchorId="65A65613" wp14:editId="3940FBFB">
                  <wp:extent cx="1988202" cy="2232837"/>
                  <wp:effectExtent l="0" t="0" r="0" b="0"/>
                  <wp:docPr id="50" name="Imagen 50" descr="C:\Users\Usuario\Desktop\leer\20180814_11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leer\20180814_11580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2052" cy="2248391"/>
                          </a:xfrm>
                          <a:prstGeom prst="rect">
                            <a:avLst/>
                          </a:prstGeom>
                          <a:noFill/>
                          <a:ln>
                            <a:noFill/>
                          </a:ln>
                        </pic:spPr>
                      </pic:pic>
                    </a:graphicData>
                  </a:graphic>
                </wp:inline>
              </w:drawing>
            </w:r>
          </w:p>
        </w:tc>
      </w:tr>
      <w:tr w:rsidR="00686018" w:rsidRPr="00686018" w:rsidTr="002D50A6">
        <w:trPr>
          <w:jc w:val="center"/>
        </w:trPr>
        <w:tc>
          <w:tcPr>
            <w:tcW w:w="3784" w:type="dxa"/>
            <w:vAlign w:val="center"/>
          </w:tcPr>
          <w:p w:rsidR="00686018"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9</w:t>
            </w:r>
            <w:r w:rsidR="00686018" w:rsidRPr="00686018">
              <w:rPr>
                <w:rFonts w:ascii="Times New Roman" w:hAnsi="Times New Roman" w:cs="Times New Roman"/>
                <w:b/>
                <w:noProof/>
                <w:sz w:val="24"/>
                <w:szCs w:val="24"/>
                <w:lang w:eastAsia="es-EC"/>
              </w:rPr>
              <w:t>.-</w:t>
            </w:r>
            <w:r w:rsidR="00686018" w:rsidRPr="00686018">
              <w:rPr>
                <w:rFonts w:ascii="Times New Roman" w:hAnsi="Times New Roman" w:cs="Times New Roman"/>
                <w:noProof/>
                <w:sz w:val="24"/>
                <w:szCs w:val="24"/>
                <w:lang w:eastAsia="es-EC"/>
              </w:rPr>
              <w:t>Pesado sustratos</w:t>
            </w:r>
          </w:p>
        </w:tc>
        <w:tc>
          <w:tcPr>
            <w:tcW w:w="4143" w:type="dxa"/>
            <w:vAlign w:val="center"/>
          </w:tcPr>
          <w:p w:rsidR="00686018"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10</w:t>
            </w:r>
            <w:r w:rsidR="00686018" w:rsidRPr="00686018">
              <w:rPr>
                <w:rFonts w:ascii="Times New Roman" w:hAnsi="Times New Roman" w:cs="Times New Roman"/>
                <w:b/>
                <w:noProof/>
                <w:sz w:val="24"/>
                <w:szCs w:val="24"/>
                <w:lang w:eastAsia="es-EC"/>
              </w:rPr>
              <w:t>.-</w:t>
            </w:r>
            <w:r w:rsidR="00686018" w:rsidRPr="00686018">
              <w:rPr>
                <w:rFonts w:ascii="Times New Roman" w:hAnsi="Times New Roman" w:cs="Times New Roman"/>
                <w:noProof/>
                <w:sz w:val="24"/>
                <w:szCs w:val="24"/>
                <w:lang w:eastAsia="es-EC"/>
              </w:rPr>
              <w:t>Determinación de SV</w:t>
            </w:r>
          </w:p>
        </w:tc>
      </w:tr>
      <w:tr w:rsidR="00686018" w:rsidRPr="00686018" w:rsidTr="002D50A6">
        <w:trPr>
          <w:jc w:val="center"/>
        </w:trPr>
        <w:tc>
          <w:tcPr>
            <w:tcW w:w="3784" w:type="dxa"/>
            <w:vAlign w:val="center"/>
          </w:tcPr>
          <w:p w:rsidR="00686018" w:rsidRPr="00686018" w:rsidRDefault="00686018"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lastRenderedPageBreak/>
              <w:drawing>
                <wp:inline distT="0" distB="0" distL="0" distR="0" wp14:anchorId="0D0FA74D" wp14:editId="2C91E3A8">
                  <wp:extent cx="1492796" cy="1919570"/>
                  <wp:effectExtent l="0" t="0" r="0"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a:extLst>
                              <a:ext uri="{28A0092B-C50C-407E-A947-70E740481C1C}">
                                <a14:useLocalDpi xmlns:a14="http://schemas.microsoft.com/office/drawing/2010/main" val="0"/>
                              </a:ext>
                            </a:extLst>
                          </a:blip>
                          <a:srcRect l="8411" t="19521" r="38861"/>
                          <a:stretch/>
                        </pic:blipFill>
                        <pic:spPr bwMode="auto">
                          <a:xfrm>
                            <a:off x="0" y="0"/>
                            <a:ext cx="1499013" cy="19275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43" w:type="dxa"/>
            <w:vAlign w:val="center"/>
          </w:tcPr>
          <w:p w:rsidR="00686018" w:rsidRPr="00686018" w:rsidRDefault="00686018"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73D75DB9" wp14:editId="28337D2B">
                  <wp:extent cx="1852860" cy="1918970"/>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19020" cy="1987491"/>
                          </a:xfrm>
                          <a:prstGeom prst="rect">
                            <a:avLst/>
                          </a:prstGeom>
                          <a:noFill/>
                        </pic:spPr>
                      </pic:pic>
                    </a:graphicData>
                  </a:graphic>
                </wp:inline>
              </w:drawing>
            </w:r>
          </w:p>
        </w:tc>
      </w:tr>
      <w:tr w:rsidR="00686018" w:rsidRPr="00686018" w:rsidTr="002D50A6">
        <w:trPr>
          <w:jc w:val="center"/>
        </w:trPr>
        <w:tc>
          <w:tcPr>
            <w:tcW w:w="3784" w:type="dxa"/>
            <w:vAlign w:val="center"/>
          </w:tcPr>
          <w:p w:rsidR="00686018"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11</w:t>
            </w:r>
            <w:r w:rsidR="00686018" w:rsidRPr="00686018">
              <w:rPr>
                <w:rFonts w:ascii="Times New Roman" w:hAnsi="Times New Roman" w:cs="Times New Roman"/>
                <w:b/>
                <w:noProof/>
                <w:sz w:val="24"/>
                <w:szCs w:val="24"/>
                <w:lang w:eastAsia="es-EC"/>
              </w:rPr>
              <w:t>.-</w:t>
            </w:r>
            <w:r w:rsidR="00686018" w:rsidRPr="00686018">
              <w:rPr>
                <w:rFonts w:ascii="Times New Roman" w:hAnsi="Times New Roman" w:cs="Times New Roman"/>
                <w:noProof/>
                <w:sz w:val="24"/>
                <w:szCs w:val="24"/>
                <w:lang w:eastAsia="es-EC"/>
              </w:rPr>
              <w:t>Pesado</w:t>
            </w:r>
          </w:p>
        </w:tc>
        <w:tc>
          <w:tcPr>
            <w:tcW w:w="4143" w:type="dxa"/>
            <w:vAlign w:val="center"/>
          </w:tcPr>
          <w:p w:rsidR="00686018"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12</w:t>
            </w:r>
            <w:r w:rsidR="00686018" w:rsidRPr="00686018">
              <w:rPr>
                <w:rFonts w:ascii="Times New Roman" w:hAnsi="Times New Roman" w:cs="Times New Roman"/>
                <w:b/>
                <w:noProof/>
                <w:sz w:val="24"/>
                <w:szCs w:val="24"/>
                <w:lang w:eastAsia="es-EC"/>
              </w:rPr>
              <w:t>.-</w:t>
            </w:r>
            <w:r w:rsidR="00686018" w:rsidRPr="00686018">
              <w:rPr>
                <w:rFonts w:ascii="Times New Roman" w:hAnsi="Times New Roman" w:cs="Times New Roman"/>
                <w:noProof/>
                <w:sz w:val="24"/>
                <w:szCs w:val="24"/>
                <w:lang w:eastAsia="es-EC"/>
              </w:rPr>
              <w:t>Análisis Elemental</w:t>
            </w:r>
          </w:p>
        </w:tc>
      </w:tr>
    </w:tbl>
    <w:p w:rsidR="00913E6A" w:rsidRPr="00686018" w:rsidRDefault="00913E6A" w:rsidP="00A31608">
      <w:pPr>
        <w:jc w:val="both"/>
        <w:rPr>
          <w:rFonts w:ascii="Times New Roman" w:hAnsi="Times New Roman" w:cs="Times New Roman"/>
          <w:b/>
          <w:noProof/>
          <w:sz w:val="24"/>
          <w:szCs w:val="24"/>
          <w:lang w:eastAsia="es-EC"/>
        </w:rPr>
      </w:pPr>
    </w:p>
    <w:p w:rsidR="00913E6A" w:rsidRPr="00686018" w:rsidRDefault="00913E6A" w:rsidP="00A31608">
      <w:pPr>
        <w:pStyle w:val="Prrafodelista"/>
        <w:numPr>
          <w:ilvl w:val="0"/>
          <w:numId w:val="33"/>
        </w:numPr>
        <w:jc w:val="both"/>
        <w:rPr>
          <w:rFonts w:ascii="Times New Roman" w:hAnsi="Times New Roman" w:cs="Times New Roman"/>
          <w:sz w:val="24"/>
          <w:szCs w:val="24"/>
        </w:rPr>
      </w:pPr>
      <w:r w:rsidRPr="00686018">
        <w:rPr>
          <w:rFonts w:ascii="Times New Roman" w:hAnsi="Times New Roman" w:cs="Times New Roman"/>
          <w:b/>
          <w:noProof/>
          <w:sz w:val="24"/>
          <w:szCs w:val="24"/>
          <w:lang w:eastAsia="es-EC"/>
        </w:rPr>
        <w:t>Montaje de digestores anaerobios en base a una razón I/S y Razón de sustrato a co-sustrato</w:t>
      </w:r>
    </w:p>
    <w:tbl>
      <w:tblPr>
        <w:tblStyle w:val="Tablaconcuadrcula"/>
        <w:tblW w:w="0" w:type="auto"/>
        <w:jc w:val="center"/>
        <w:tblLook w:val="04A0" w:firstRow="1" w:lastRow="0" w:firstColumn="1" w:lastColumn="0" w:noHBand="0" w:noVBand="1"/>
      </w:tblPr>
      <w:tblGrid>
        <w:gridCol w:w="4033"/>
        <w:gridCol w:w="3894"/>
      </w:tblGrid>
      <w:tr w:rsidR="00913E6A"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5A5590F1" wp14:editId="1FA661D7">
                  <wp:extent cx="1722475" cy="1477010"/>
                  <wp:effectExtent l="0" t="0" r="0" b="8890"/>
                  <wp:docPr id="53" name="Imagen 53" descr="C:\Users\Usuario\Desktop\leer\20180905_1105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leer\20180905_110507(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0600" cy="1492552"/>
                          </a:xfrm>
                          <a:prstGeom prst="rect">
                            <a:avLst/>
                          </a:prstGeom>
                          <a:noFill/>
                          <a:ln>
                            <a:noFill/>
                          </a:ln>
                        </pic:spPr>
                      </pic:pic>
                    </a:graphicData>
                  </a:graphic>
                </wp:inline>
              </w:drawing>
            </w:r>
          </w:p>
        </w:tc>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4D044B59" wp14:editId="38CB71CB">
                  <wp:extent cx="1129523" cy="150721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45924" cy="1529095"/>
                          </a:xfrm>
                          <a:prstGeom prst="rect">
                            <a:avLst/>
                          </a:prstGeom>
                          <a:noFill/>
                        </pic:spPr>
                      </pic:pic>
                    </a:graphicData>
                  </a:graphic>
                </wp:inline>
              </w:drawing>
            </w:r>
          </w:p>
        </w:tc>
      </w:tr>
      <w:tr w:rsidR="00913E6A" w:rsidRPr="00686018" w:rsidTr="00B46DDC">
        <w:trPr>
          <w:jc w:val="center"/>
        </w:trPr>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13</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Homogeneizado</w:t>
            </w:r>
          </w:p>
        </w:tc>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14</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Licuado</w:t>
            </w:r>
          </w:p>
        </w:tc>
      </w:tr>
      <w:tr w:rsidR="00913E6A"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6FD95821" wp14:editId="0016CC99">
                  <wp:extent cx="1669170" cy="2317898"/>
                  <wp:effectExtent l="0" t="0" r="7620" b="6350"/>
                  <wp:docPr id="55" name="Imagen 55" descr="C:\Users\Mount Sinaí\Desktop\Nueva carpeta\IMG-2019031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unt Sinaí\Desktop\Nueva carpeta\IMG-20190312-WA0009.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6008"/>
                          <a:stretch/>
                        </pic:blipFill>
                        <pic:spPr bwMode="auto">
                          <a:xfrm>
                            <a:off x="0" y="0"/>
                            <a:ext cx="1713964" cy="23801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b/>
                <w:noProof/>
                <w:sz w:val="24"/>
                <w:szCs w:val="24"/>
                <w:lang w:eastAsia="es-EC"/>
              </w:rPr>
              <w:drawing>
                <wp:inline distT="0" distB="0" distL="0" distR="0" wp14:anchorId="05B3BE8F" wp14:editId="5BA23789">
                  <wp:extent cx="1179652" cy="2242026"/>
                  <wp:effectExtent l="0" t="0" r="1905"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3681" cy="2344712"/>
                          </a:xfrm>
                          <a:prstGeom prst="rect">
                            <a:avLst/>
                          </a:prstGeom>
                          <a:noFill/>
                        </pic:spPr>
                      </pic:pic>
                    </a:graphicData>
                  </a:graphic>
                </wp:inline>
              </w:drawing>
            </w:r>
          </w:p>
        </w:tc>
      </w:tr>
      <w:tr w:rsidR="00913E6A" w:rsidRPr="00686018" w:rsidTr="00B46DDC">
        <w:trPr>
          <w:jc w:val="center"/>
        </w:trPr>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15</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Evasado</w:t>
            </w:r>
          </w:p>
        </w:tc>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16</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Tapado</w:t>
            </w:r>
          </w:p>
        </w:tc>
      </w:tr>
      <w:tr w:rsidR="00913E6A"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lastRenderedPageBreak/>
              <w:drawing>
                <wp:inline distT="0" distB="0" distL="0" distR="0" wp14:anchorId="7939641E" wp14:editId="29C2C95D">
                  <wp:extent cx="1684798" cy="1828076"/>
                  <wp:effectExtent l="0" t="0" r="0" b="127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96731" cy="1841024"/>
                          </a:xfrm>
                          <a:prstGeom prst="rect">
                            <a:avLst/>
                          </a:prstGeom>
                          <a:noFill/>
                        </pic:spPr>
                      </pic:pic>
                    </a:graphicData>
                  </a:graphic>
                </wp:inline>
              </w:drawing>
            </w:r>
          </w:p>
        </w:tc>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30B3AF01" wp14:editId="784D985F">
                  <wp:extent cx="969013" cy="972589"/>
                  <wp:effectExtent l="0" t="0" r="254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75137" cy="978736"/>
                          </a:xfrm>
                          <a:prstGeom prst="rect">
                            <a:avLst/>
                          </a:prstGeom>
                          <a:noFill/>
                        </pic:spPr>
                      </pic:pic>
                    </a:graphicData>
                  </a:graphic>
                </wp:inline>
              </w:drawing>
            </w:r>
            <w:r w:rsidRPr="00686018">
              <w:rPr>
                <w:rFonts w:ascii="Times New Roman" w:hAnsi="Times New Roman" w:cs="Times New Roman"/>
                <w:noProof/>
                <w:sz w:val="24"/>
                <w:szCs w:val="24"/>
                <w:lang w:eastAsia="es-EC"/>
              </w:rPr>
              <w:drawing>
                <wp:inline distT="0" distB="0" distL="0" distR="0" wp14:anchorId="53DB5AA3" wp14:editId="21310F3C">
                  <wp:extent cx="1018940" cy="956318"/>
                  <wp:effectExtent l="0" t="0" r="0" b="0"/>
                  <wp:docPr id="59" name="Imagen 59" descr="C:\Users\Mount Sinaí\Desktop\Nueva carpeta\20190303_14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unt Sinaí\Desktop\Nueva carpeta\20190303_14474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31107" cy="967737"/>
                          </a:xfrm>
                          <a:prstGeom prst="rect">
                            <a:avLst/>
                          </a:prstGeom>
                          <a:noFill/>
                          <a:ln>
                            <a:noFill/>
                          </a:ln>
                        </pic:spPr>
                      </pic:pic>
                    </a:graphicData>
                  </a:graphic>
                </wp:inline>
              </w:drawing>
            </w:r>
            <w:r w:rsidRPr="00686018">
              <w:rPr>
                <w:rFonts w:ascii="Times New Roman" w:hAnsi="Times New Roman" w:cs="Times New Roman"/>
                <w:noProof/>
                <w:sz w:val="24"/>
                <w:szCs w:val="24"/>
                <w:lang w:eastAsia="es-EC"/>
              </w:rPr>
              <w:drawing>
                <wp:inline distT="0" distB="0" distL="0" distR="0" wp14:anchorId="72223979" wp14:editId="2603DE81">
                  <wp:extent cx="942478" cy="950026"/>
                  <wp:effectExtent l="0" t="0" r="0" b="2540"/>
                  <wp:docPr id="60" name="Imagen 60" descr="C:\Users\Mount Sinaí\Desktop\Nueva carpeta\20190303_14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unt Sinaí\Desktop\Nueva carpeta\20190303_14474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56598" cy="964259"/>
                          </a:xfrm>
                          <a:prstGeom prst="rect">
                            <a:avLst/>
                          </a:prstGeom>
                          <a:noFill/>
                          <a:ln>
                            <a:noFill/>
                          </a:ln>
                        </pic:spPr>
                      </pic:pic>
                    </a:graphicData>
                  </a:graphic>
                </wp:inline>
              </w:drawing>
            </w:r>
          </w:p>
        </w:tc>
      </w:tr>
      <w:tr w:rsidR="00913E6A" w:rsidRPr="00686018" w:rsidTr="00B46DDC">
        <w:trPr>
          <w:jc w:val="center"/>
        </w:trPr>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17</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Sellado</w:t>
            </w:r>
          </w:p>
        </w:tc>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18</w:t>
            </w:r>
            <w:r w:rsidR="00913E6A" w:rsidRPr="00686018">
              <w:rPr>
                <w:rFonts w:ascii="Times New Roman" w:hAnsi="Times New Roman" w:cs="Times New Roman"/>
                <w:b/>
                <w:noProof/>
                <w:sz w:val="24"/>
                <w:szCs w:val="24"/>
                <w:lang w:eastAsia="es-EC"/>
              </w:rPr>
              <w:t xml:space="preserve">.- </w:t>
            </w:r>
            <w:r w:rsidR="00913E6A" w:rsidRPr="00686018">
              <w:rPr>
                <w:rFonts w:ascii="Times New Roman" w:hAnsi="Times New Roman" w:cs="Times New Roman"/>
                <w:noProof/>
                <w:sz w:val="24"/>
                <w:szCs w:val="24"/>
                <w:lang w:eastAsia="es-EC"/>
              </w:rPr>
              <w:t>Arreglo experimental</w:t>
            </w:r>
          </w:p>
        </w:tc>
      </w:tr>
      <w:tr w:rsidR="00913E6A" w:rsidRPr="00686018" w:rsidTr="00B46DDC">
        <w:trPr>
          <w:jc w:val="center"/>
        </w:trPr>
        <w:tc>
          <w:tcPr>
            <w:tcW w:w="8494" w:type="dxa"/>
            <w:gridSpan w:val="2"/>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7D7BC4F7" wp14:editId="10402A39">
                  <wp:extent cx="1432195" cy="1508553"/>
                  <wp:effectExtent l="0" t="0" r="0" b="0"/>
                  <wp:docPr id="61" name="Imagen 61" descr="C:\Users\Mount Sinaí\Desktop\20190312_08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unt Sinaí\Desktop\20190312_084246.jpg"/>
                          <pic:cNvPicPr>
                            <a:picLocks noChangeAspect="1" noChangeArrowheads="1"/>
                          </pic:cNvPicPr>
                        </pic:nvPicPr>
                        <pic:blipFill rotWithShape="1">
                          <a:blip r:embed="rId71">
                            <a:extLst>
                              <a:ext uri="{28A0092B-C50C-407E-A947-70E740481C1C}">
                                <a14:useLocalDpi xmlns:a14="http://schemas.microsoft.com/office/drawing/2010/main" val="0"/>
                              </a:ext>
                            </a:extLst>
                          </a:blip>
                          <a:srcRect r="5062"/>
                          <a:stretch/>
                        </pic:blipFill>
                        <pic:spPr bwMode="auto">
                          <a:xfrm>
                            <a:off x="0" y="0"/>
                            <a:ext cx="1449105" cy="15263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3E6A" w:rsidRPr="00686018" w:rsidTr="00B46DDC">
        <w:trPr>
          <w:jc w:val="center"/>
        </w:trPr>
        <w:tc>
          <w:tcPr>
            <w:tcW w:w="8494" w:type="dxa"/>
            <w:gridSpan w:val="2"/>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19</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Incubación</w:t>
            </w:r>
          </w:p>
        </w:tc>
      </w:tr>
    </w:tbl>
    <w:p w:rsidR="00913E6A" w:rsidRPr="00686018" w:rsidRDefault="00913E6A" w:rsidP="00A31608">
      <w:pPr>
        <w:jc w:val="both"/>
        <w:rPr>
          <w:rFonts w:ascii="Times New Roman" w:hAnsi="Times New Roman" w:cs="Times New Roman"/>
          <w:sz w:val="24"/>
          <w:szCs w:val="24"/>
        </w:rPr>
      </w:pPr>
    </w:p>
    <w:p w:rsidR="00913E6A" w:rsidRPr="00686018" w:rsidRDefault="00913E6A" w:rsidP="00A31608">
      <w:pPr>
        <w:pStyle w:val="Prrafodelista"/>
        <w:numPr>
          <w:ilvl w:val="0"/>
          <w:numId w:val="33"/>
        </w:numPr>
        <w:jc w:val="both"/>
        <w:rPr>
          <w:rFonts w:ascii="Times New Roman" w:hAnsi="Times New Roman" w:cs="Times New Roman"/>
          <w:sz w:val="24"/>
          <w:szCs w:val="24"/>
        </w:rPr>
      </w:pPr>
      <w:r w:rsidRPr="00686018">
        <w:rPr>
          <w:rFonts w:ascii="Times New Roman" w:hAnsi="Times New Roman" w:cs="Times New Roman"/>
          <w:b/>
          <w:noProof/>
          <w:sz w:val="24"/>
          <w:szCs w:val="24"/>
          <w:lang w:eastAsia="es-EC"/>
        </w:rPr>
        <w:t>Recolección de información</w:t>
      </w:r>
    </w:p>
    <w:tbl>
      <w:tblPr>
        <w:tblStyle w:val="Tablaconcuadrcula"/>
        <w:tblW w:w="0" w:type="auto"/>
        <w:jc w:val="center"/>
        <w:tblLook w:val="04A0" w:firstRow="1" w:lastRow="0" w:firstColumn="1" w:lastColumn="0" w:noHBand="0" w:noVBand="1"/>
      </w:tblPr>
      <w:tblGrid>
        <w:gridCol w:w="3957"/>
        <w:gridCol w:w="3970"/>
      </w:tblGrid>
      <w:tr w:rsidR="00711FF6"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08A0952B" wp14:editId="1387388A">
                  <wp:extent cx="978195" cy="130018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23111" cy="1359884"/>
                          </a:xfrm>
                          <a:prstGeom prst="rect">
                            <a:avLst/>
                          </a:prstGeom>
                          <a:noFill/>
                        </pic:spPr>
                      </pic:pic>
                    </a:graphicData>
                  </a:graphic>
                </wp:inline>
              </w:drawing>
            </w:r>
          </w:p>
        </w:tc>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4590B629" wp14:editId="5BA92D4B">
                  <wp:extent cx="982823" cy="1310841"/>
                  <wp:effectExtent l="0" t="0" r="8255" b="3810"/>
                  <wp:docPr id="63" name="Imagen 63" descr="C:\Users\Mount Sinaí\Desktop\Nueva carpeta\IMG-20190312-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unt Sinaí\Desktop\Nueva carpeta\IMG-20190312-WA004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25034" cy="1367139"/>
                          </a:xfrm>
                          <a:prstGeom prst="rect">
                            <a:avLst/>
                          </a:prstGeom>
                          <a:noFill/>
                          <a:ln>
                            <a:noFill/>
                          </a:ln>
                        </pic:spPr>
                      </pic:pic>
                    </a:graphicData>
                  </a:graphic>
                </wp:inline>
              </w:drawing>
            </w:r>
            <w:r w:rsidRPr="00686018">
              <w:rPr>
                <w:rFonts w:ascii="Times New Roman" w:eastAsia="Times New Roman" w:hAnsi="Times New Roman" w:cs="Times New Roman"/>
                <w:noProof/>
                <w:color w:val="000000"/>
                <w:sz w:val="24"/>
                <w:szCs w:val="24"/>
                <w:lang w:eastAsia="es-EC"/>
              </w:rPr>
              <w:drawing>
                <wp:inline distT="0" distB="0" distL="0" distR="0" wp14:anchorId="043B6D64" wp14:editId="76E05251">
                  <wp:extent cx="1081290" cy="1310270"/>
                  <wp:effectExtent l="0" t="0" r="5080" b="444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02024" cy="1335395"/>
                          </a:xfrm>
                          <a:prstGeom prst="rect">
                            <a:avLst/>
                          </a:prstGeom>
                          <a:noFill/>
                        </pic:spPr>
                      </pic:pic>
                    </a:graphicData>
                  </a:graphic>
                </wp:inline>
              </w:drawing>
            </w:r>
          </w:p>
        </w:tc>
      </w:tr>
      <w:tr w:rsidR="00711FF6" w:rsidRPr="00686018" w:rsidTr="00B46DDC">
        <w:trPr>
          <w:jc w:val="center"/>
        </w:trPr>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20</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Agitación</w:t>
            </w:r>
          </w:p>
        </w:tc>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21</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Lectura de presión</w:t>
            </w:r>
          </w:p>
        </w:tc>
      </w:tr>
      <w:tr w:rsidR="00711FF6" w:rsidRPr="00686018" w:rsidTr="00B46DDC">
        <w:trPr>
          <w:jc w:val="center"/>
        </w:trPr>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16C2E816" wp14:editId="4E4E54CE">
                  <wp:extent cx="898121" cy="1362974"/>
                  <wp:effectExtent l="0" t="0" r="0" b="8890"/>
                  <wp:docPr id="65" name="Imagen 65" descr="C:\Users\Mount Sinaí\Desktop\Nueva carpeta\IMG-20190312-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unt Sinaí\Desktop\Nueva carpeta\IMG-20190312-WA0058.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2114"/>
                          <a:stretch/>
                        </pic:blipFill>
                        <pic:spPr bwMode="auto">
                          <a:xfrm>
                            <a:off x="0" y="0"/>
                            <a:ext cx="912092" cy="1384176"/>
                          </a:xfrm>
                          <a:prstGeom prst="rect">
                            <a:avLst/>
                          </a:prstGeom>
                          <a:noFill/>
                          <a:ln>
                            <a:noFill/>
                          </a:ln>
                          <a:extLst>
                            <a:ext uri="{53640926-AAD7-44D8-BBD7-CCE9431645EC}">
                              <a14:shadowObscured xmlns:a14="http://schemas.microsoft.com/office/drawing/2010/main"/>
                            </a:ext>
                          </a:extLst>
                        </pic:spPr>
                      </pic:pic>
                    </a:graphicData>
                  </a:graphic>
                </wp:inline>
              </w:drawing>
            </w:r>
            <w:r w:rsidRPr="00686018">
              <w:rPr>
                <w:rFonts w:ascii="Times New Roman" w:hAnsi="Times New Roman" w:cs="Times New Roman"/>
                <w:noProof/>
                <w:sz w:val="24"/>
                <w:szCs w:val="24"/>
                <w:lang w:eastAsia="es-EC"/>
              </w:rPr>
              <w:drawing>
                <wp:inline distT="0" distB="0" distL="0" distR="0" wp14:anchorId="2E18413F" wp14:editId="738BE2A1">
                  <wp:extent cx="1360471" cy="1020540"/>
                  <wp:effectExtent l="0" t="1588" r="0" b="0"/>
                  <wp:docPr id="66" name="Imagen 66" descr="C:\Users\Mount Sinaí\Desktop\Nueva carpeta\20190308_09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unt Sinaí\Desktop\Nueva carpeta\20190308_09443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1398099" cy="1048766"/>
                          </a:xfrm>
                          <a:prstGeom prst="rect">
                            <a:avLst/>
                          </a:prstGeom>
                          <a:noFill/>
                          <a:ln>
                            <a:noFill/>
                          </a:ln>
                        </pic:spPr>
                      </pic:pic>
                    </a:graphicData>
                  </a:graphic>
                </wp:inline>
              </w:drawing>
            </w:r>
          </w:p>
        </w:tc>
        <w:tc>
          <w:tcPr>
            <w:tcW w:w="4247" w:type="dxa"/>
            <w:vAlign w:val="center"/>
          </w:tcPr>
          <w:p w:rsidR="00913E6A" w:rsidRPr="00686018" w:rsidRDefault="00913E6A" w:rsidP="00B46DDC">
            <w:pPr>
              <w:jc w:val="center"/>
              <w:rPr>
                <w:rFonts w:ascii="Times New Roman" w:hAnsi="Times New Roman" w:cs="Times New Roman"/>
                <w:noProof/>
                <w:sz w:val="24"/>
                <w:szCs w:val="24"/>
                <w:lang w:eastAsia="es-EC"/>
              </w:rPr>
            </w:pPr>
            <w:r w:rsidRPr="00686018">
              <w:rPr>
                <w:rFonts w:ascii="Times New Roman" w:hAnsi="Times New Roman" w:cs="Times New Roman"/>
                <w:noProof/>
                <w:sz w:val="24"/>
                <w:szCs w:val="24"/>
                <w:lang w:eastAsia="es-EC"/>
              </w:rPr>
              <w:drawing>
                <wp:inline distT="0" distB="0" distL="0" distR="0" wp14:anchorId="58822509" wp14:editId="13D3AF80">
                  <wp:extent cx="1418300" cy="1063725"/>
                  <wp:effectExtent l="5715" t="0" r="0" b="0"/>
                  <wp:docPr id="67" name="Imagen 67" descr="C:\Users\Usuario\Desktop\leer\20181122_1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esktop\leer\20181122_10400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1443487" cy="1082615"/>
                          </a:xfrm>
                          <a:prstGeom prst="rect">
                            <a:avLst/>
                          </a:prstGeom>
                          <a:noFill/>
                          <a:ln>
                            <a:noFill/>
                          </a:ln>
                        </pic:spPr>
                      </pic:pic>
                    </a:graphicData>
                  </a:graphic>
                </wp:inline>
              </w:drawing>
            </w:r>
          </w:p>
        </w:tc>
      </w:tr>
      <w:tr w:rsidR="00711FF6" w:rsidRPr="00686018" w:rsidTr="00B46DDC">
        <w:trPr>
          <w:jc w:val="center"/>
        </w:trPr>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22</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Lectura de biogás</w:t>
            </w:r>
          </w:p>
        </w:tc>
        <w:tc>
          <w:tcPr>
            <w:tcW w:w="4247" w:type="dxa"/>
            <w:vAlign w:val="center"/>
          </w:tcPr>
          <w:p w:rsidR="00913E6A" w:rsidRPr="00686018" w:rsidRDefault="002D50A6" w:rsidP="00B46DDC">
            <w:pPr>
              <w:jc w:val="center"/>
              <w:rPr>
                <w:rFonts w:ascii="Times New Roman" w:hAnsi="Times New Roman" w:cs="Times New Roman"/>
                <w:noProof/>
                <w:sz w:val="24"/>
                <w:szCs w:val="24"/>
                <w:lang w:eastAsia="es-EC"/>
              </w:rPr>
            </w:pPr>
            <w:r>
              <w:rPr>
                <w:rFonts w:ascii="Times New Roman" w:hAnsi="Times New Roman" w:cs="Times New Roman"/>
                <w:b/>
                <w:noProof/>
                <w:sz w:val="24"/>
                <w:szCs w:val="24"/>
                <w:lang w:eastAsia="es-EC"/>
              </w:rPr>
              <w:t>Fotografia 23</w:t>
            </w:r>
            <w:r w:rsidR="00913E6A" w:rsidRPr="00686018">
              <w:rPr>
                <w:rFonts w:ascii="Times New Roman" w:hAnsi="Times New Roman" w:cs="Times New Roman"/>
                <w:b/>
                <w:noProof/>
                <w:sz w:val="24"/>
                <w:szCs w:val="24"/>
                <w:lang w:eastAsia="es-EC"/>
              </w:rPr>
              <w:t>.-</w:t>
            </w:r>
            <w:r w:rsidR="00913E6A" w:rsidRPr="00686018">
              <w:rPr>
                <w:rFonts w:ascii="Times New Roman" w:hAnsi="Times New Roman" w:cs="Times New Roman"/>
                <w:noProof/>
                <w:sz w:val="24"/>
                <w:szCs w:val="24"/>
                <w:lang w:eastAsia="es-EC"/>
              </w:rPr>
              <w:t>Ingreso de Datos</w:t>
            </w:r>
          </w:p>
        </w:tc>
      </w:tr>
    </w:tbl>
    <w:p w:rsidR="00397474" w:rsidRPr="00686018" w:rsidRDefault="00397474" w:rsidP="00A31608">
      <w:pPr>
        <w:jc w:val="both"/>
        <w:rPr>
          <w:rFonts w:ascii="Times New Roman" w:hAnsi="Times New Roman" w:cs="Times New Roman"/>
        </w:rPr>
      </w:pPr>
    </w:p>
    <w:p w:rsidR="00ED093E" w:rsidRPr="00686018" w:rsidRDefault="00ED093E" w:rsidP="00A31608">
      <w:pPr>
        <w:jc w:val="both"/>
        <w:rPr>
          <w:rFonts w:ascii="Times New Roman" w:hAnsi="Times New Roman" w:cs="Times New Roman"/>
        </w:rPr>
      </w:pPr>
    </w:p>
    <w:p w:rsidR="00171726" w:rsidRDefault="00171726" w:rsidP="00A31608">
      <w:pPr>
        <w:ind w:left="708"/>
        <w:jc w:val="both"/>
        <w:rPr>
          <w:rFonts w:ascii="Times New Roman" w:hAnsi="Times New Roman" w:cs="Times New Roman"/>
          <w:b/>
          <w:sz w:val="24"/>
        </w:rPr>
      </w:pPr>
    </w:p>
    <w:p w:rsidR="00171726" w:rsidRDefault="00171726" w:rsidP="00A31608">
      <w:pPr>
        <w:ind w:left="708"/>
        <w:jc w:val="both"/>
        <w:rPr>
          <w:rFonts w:ascii="Times New Roman" w:hAnsi="Times New Roman" w:cs="Times New Roman"/>
          <w:b/>
          <w:sz w:val="24"/>
        </w:rPr>
      </w:pPr>
    </w:p>
    <w:p w:rsidR="00171726" w:rsidRPr="00171726" w:rsidRDefault="00171726" w:rsidP="00171726">
      <w:pPr>
        <w:pStyle w:val="Descripcin"/>
        <w:spacing w:before="360" w:after="360"/>
        <w:rPr>
          <w:rFonts w:ascii="Times New Roman" w:hAnsi="Times New Roman" w:cs="Times New Roman"/>
          <w:b/>
          <w:i w:val="0"/>
          <w:color w:val="auto"/>
          <w:sz w:val="24"/>
          <w:szCs w:val="24"/>
        </w:rPr>
      </w:pPr>
      <w:bookmarkStart w:id="305" w:name="_Toc9537931"/>
      <w:r w:rsidRPr="00171726">
        <w:rPr>
          <w:rFonts w:ascii="Times New Roman" w:hAnsi="Times New Roman" w:cs="Times New Roman"/>
          <w:b/>
          <w:i w:val="0"/>
          <w:color w:val="auto"/>
          <w:sz w:val="24"/>
          <w:szCs w:val="24"/>
        </w:rPr>
        <w:lastRenderedPageBreak/>
        <w:t xml:space="preserve">ANEXO </w:t>
      </w:r>
      <w:r w:rsidRPr="00171726">
        <w:rPr>
          <w:rFonts w:ascii="Times New Roman" w:hAnsi="Times New Roman" w:cs="Times New Roman"/>
          <w:b/>
          <w:i w:val="0"/>
          <w:color w:val="auto"/>
          <w:sz w:val="24"/>
          <w:szCs w:val="24"/>
        </w:rPr>
        <w:fldChar w:fldCharType="begin"/>
      </w:r>
      <w:r w:rsidRPr="00171726">
        <w:rPr>
          <w:rFonts w:ascii="Times New Roman" w:hAnsi="Times New Roman" w:cs="Times New Roman"/>
          <w:b/>
          <w:i w:val="0"/>
          <w:color w:val="auto"/>
          <w:sz w:val="24"/>
          <w:szCs w:val="24"/>
        </w:rPr>
        <w:instrText xml:space="preserve"> SEQ ANEXO \* ARABIC </w:instrText>
      </w:r>
      <w:r w:rsidRPr="00171726">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3</w:t>
      </w:r>
      <w:r w:rsidRPr="00171726">
        <w:rPr>
          <w:rFonts w:ascii="Times New Roman" w:hAnsi="Times New Roman" w:cs="Times New Roman"/>
          <w:b/>
          <w:i w:val="0"/>
          <w:color w:val="auto"/>
          <w:sz w:val="24"/>
          <w:szCs w:val="24"/>
        </w:rPr>
        <w:fldChar w:fldCharType="end"/>
      </w:r>
      <w:r w:rsidRPr="00171726">
        <w:rPr>
          <w:rFonts w:ascii="Times New Roman" w:hAnsi="Times New Roman" w:cs="Times New Roman"/>
          <w:b/>
          <w:i w:val="0"/>
          <w:color w:val="auto"/>
          <w:sz w:val="24"/>
          <w:szCs w:val="24"/>
        </w:rPr>
        <w:t xml:space="preserve">. </w:t>
      </w:r>
      <w:r w:rsidRPr="00171726">
        <w:rPr>
          <w:rFonts w:ascii="Times New Roman" w:hAnsi="Times New Roman" w:cs="Times New Roman"/>
          <w:i w:val="0"/>
          <w:color w:val="auto"/>
          <w:sz w:val="24"/>
          <w:szCs w:val="24"/>
        </w:rPr>
        <w:t>Glosario de términos</w:t>
      </w:r>
      <w:bookmarkEnd w:id="305"/>
    </w:p>
    <w:p w:rsidR="00A92532" w:rsidRPr="00686018" w:rsidRDefault="00A92532" w:rsidP="00A31608">
      <w:pPr>
        <w:ind w:left="708"/>
        <w:jc w:val="both"/>
        <w:rPr>
          <w:rFonts w:ascii="Times New Roman" w:hAnsi="Times New Roman" w:cs="Times New Roman"/>
          <w:b/>
          <w:sz w:val="24"/>
        </w:rPr>
      </w:pPr>
      <w:r w:rsidRPr="00686018">
        <w:rPr>
          <w:rFonts w:ascii="Times New Roman" w:hAnsi="Times New Roman" w:cs="Times New Roman"/>
          <w:b/>
          <w:sz w:val="24"/>
        </w:rPr>
        <w:t xml:space="preserve">DA. </w:t>
      </w:r>
      <w:r w:rsidRPr="00686018">
        <w:rPr>
          <w:rFonts w:ascii="Times New Roman" w:hAnsi="Times New Roman" w:cs="Times New Roman"/>
          <w:sz w:val="24"/>
        </w:rPr>
        <w:t>Digestión anaerobia</w:t>
      </w:r>
    </w:p>
    <w:p w:rsidR="00A92532" w:rsidRPr="00686018" w:rsidRDefault="005C2AC7" w:rsidP="00A31608">
      <w:pPr>
        <w:ind w:left="708"/>
        <w:jc w:val="both"/>
        <w:rPr>
          <w:rFonts w:ascii="Times New Roman" w:hAnsi="Times New Roman" w:cs="Times New Roman"/>
          <w:b/>
          <w:sz w:val="24"/>
        </w:rPr>
      </w:pPr>
      <w:r w:rsidRPr="00686018">
        <w:rPr>
          <w:rFonts w:ascii="Times New Roman" w:hAnsi="Times New Roman" w:cs="Times New Roman"/>
          <w:b/>
          <w:sz w:val="24"/>
        </w:rPr>
        <w:t>C</w:t>
      </w:r>
      <w:r w:rsidR="00A92532" w:rsidRPr="00686018">
        <w:rPr>
          <w:rFonts w:ascii="Times New Roman" w:hAnsi="Times New Roman" w:cs="Times New Roman"/>
          <w:b/>
          <w:sz w:val="24"/>
        </w:rPr>
        <w:t>oD</w:t>
      </w:r>
      <w:r w:rsidRPr="00686018">
        <w:rPr>
          <w:rFonts w:ascii="Times New Roman" w:hAnsi="Times New Roman" w:cs="Times New Roman"/>
          <w:b/>
          <w:sz w:val="24"/>
        </w:rPr>
        <w:t>A</w:t>
      </w:r>
      <w:r w:rsidR="00A92532" w:rsidRPr="00686018">
        <w:rPr>
          <w:rFonts w:ascii="Times New Roman" w:hAnsi="Times New Roman" w:cs="Times New Roman"/>
          <w:b/>
          <w:sz w:val="24"/>
        </w:rPr>
        <w:t xml:space="preserve">. </w:t>
      </w:r>
      <w:r w:rsidR="00E551B7" w:rsidRPr="00686018">
        <w:rPr>
          <w:rFonts w:ascii="Times New Roman" w:hAnsi="Times New Roman" w:cs="Times New Roman"/>
          <w:sz w:val="24"/>
        </w:rPr>
        <w:t>Codigestión</w:t>
      </w:r>
      <w:r w:rsidR="00A92532" w:rsidRPr="00686018">
        <w:rPr>
          <w:rFonts w:ascii="Times New Roman" w:hAnsi="Times New Roman" w:cs="Times New Roman"/>
          <w:sz w:val="24"/>
        </w:rPr>
        <w:t xml:space="preserve"> anaerobia</w:t>
      </w:r>
    </w:p>
    <w:p w:rsidR="00A92532" w:rsidRPr="00686018" w:rsidRDefault="00A92532" w:rsidP="00A31608">
      <w:pPr>
        <w:ind w:left="708"/>
        <w:jc w:val="both"/>
        <w:rPr>
          <w:rFonts w:ascii="Times New Roman" w:hAnsi="Times New Roman" w:cs="Times New Roman"/>
          <w:b/>
          <w:sz w:val="24"/>
        </w:rPr>
      </w:pPr>
      <w:r w:rsidRPr="00686018">
        <w:rPr>
          <w:rFonts w:ascii="Times New Roman" w:hAnsi="Times New Roman" w:cs="Times New Roman"/>
          <w:b/>
          <w:sz w:val="24"/>
        </w:rPr>
        <w:t>Biogás.</w:t>
      </w:r>
      <w:r w:rsidRPr="00686018">
        <w:rPr>
          <w:rFonts w:ascii="Times New Roman" w:hAnsi="Times New Roman" w:cs="Times New Roman"/>
          <w:sz w:val="24"/>
        </w:rPr>
        <w:t xml:space="preserve"> Sustancia gaseosa compuesta principalmente por metano, CO</w:t>
      </w:r>
      <w:r w:rsidRPr="00686018">
        <w:rPr>
          <w:rFonts w:ascii="Times New Roman" w:hAnsi="Times New Roman" w:cs="Times New Roman"/>
          <w:sz w:val="24"/>
          <w:vertAlign w:val="subscript"/>
        </w:rPr>
        <w:t>2</w:t>
      </w:r>
      <w:r w:rsidRPr="00686018">
        <w:rPr>
          <w:rFonts w:ascii="Times New Roman" w:hAnsi="Times New Roman" w:cs="Times New Roman"/>
          <w:sz w:val="24"/>
        </w:rPr>
        <w:t xml:space="preserve"> y una mescla de otros gases en menor cantidad.</w:t>
      </w:r>
    </w:p>
    <w:p w:rsidR="00A92532" w:rsidRPr="00686018" w:rsidRDefault="00A92532" w:rsidP="00A31608">
      <w:pPr>
        <w:ind w:left="708"/>
        <w:jc w:val="both"/>
        <w:rPr>
          <w:rFonts w:ascii="Times New Roman" w:hAnsi="Times New Roman" w:cs="Times New Roman"/>
          <w:sz w:val="24"/>
        </w:rPr>
      </w:pPr>
      <w:r w:rsidRPr="00686018">
        <w:rPr>
          <w:rFonts w:ascii="Times New Roman" w:hAnsi="Times New Roman" w:cs="Times New Roman"/>
          <w:b/>
          <w:sz w:val="24"/>
        </w:rPr>
        <w:t>Biodegradabilidad</w:t>
      </w:r>
      <w:r w:rsidR="00913E6A" w:rsidRPr="00686018">
        <w:rPr>
          <w:rFonts w:ascii="Times New Roman" w:hAnsi="Times New Roman" w:cs="Times New Roman"/>
          <w:b/>
          <w:sz w:val="24"/>
        </w:rPr>
        <w:t xml:space="preserve"> (BD)</w:t>
      </w:r>
      <w:r w:rsidRPr="00686018">
        <w:rPr>
          <w:rFonts w:ascii="Times New Roman" w:hAnsi="Times New Roman" w:cs="Times New Roman"/>
          <w:b/>
          <w:sz w:val="24"/>
        </w:rPr>
        <w:t xml:space="preserve">. </w:t>
      </w:r>
      <w:r w:rsidRPr="00686018">
        <w:rPr>
          <w:rFonts w:ascii="Times New Roman" w:hAnsi="Times New Roman" w:cs="Times New Roman"/>
          <w:sz w:val="24"/>
        </w:rPr>
        <w:t>Capacidad de la materia orgánica para deteriorarse</w:t>
      </w:r>
      <w:r w:rsidRPr="00686018">
        <w:rPr>
          <w:rFonts w:ascii="Times New Roman" w:hAnsi="Times New Roman" w:cs="Times New Roman"/>
          <w:b/>
          <w:sz w:val="24"/>
        </w:rPr>
        <w:t xml:space="preserve"> </w:t>
      </w:r>
      <w:r w:rsidRPr="00686018">
        <w:rPr>
          <w:rFonts w:ascii="Times New Roman" w:hAnsi="Times New Roman" w:cs="Times New Roman"/>
          <w:sz w:val="24"/>
        </w:rPr>
        <w:t>en condiciones anaerobias con la liberación de CO</w:t>
      </w:r>
      <w:r w:rsidRPr="00686018">
        <w:rPr>
          <w:rFonts w:ascii="Times New Roman" w:hAnsi="Times New Roman" w:cs="Times New Roman"/>
          <w:sz w:val="24"/>
          <w:vertAlign w:val="subscript"/>
        </w:rPr>
        <w:t>2</w:t>
      </w:r>
      <w:r w:rsidRPr="00686018">
        <w:rPr>
          <w:rFonts w:ascii="Times New Roman" w:hAnsi="Times New Roman" w:cs="Times New Roman"/>
          <w:sz w:val="24"/>
        </w:rPr>
        <w:t>.</w:t>
      </w:r>
    </w:p>
    <w:p w:rsidR="00A92532" w:rsidRPr="00686018" w:rsidRDefault="00A92532" w:rsidP="00A31608">
      <w:pPr>
        <w:ind w:left="708"/>
        <w:jc w:val="both"/>
        <w:rPr>
          <w:rFonts w:ascii="Times New Roman" w:hAnsi="Times New Roman" w:cs="Times New Roman"/>
          <w:sz w:val="24"/>
        </w:rPr>
      </w:pPr>
      <w:r w:rsidRPr="00686018">
        <w:rPr>
          <w:rFonts w:ascii="Times New Roman" w:hAnsi="Times New Roman" w:cs="Times New Roman"/>
          <w:b/>
          <w:sz w:val="24"/>
        </w:rPr>
        <w:t>Índice de efecto sinérgico</w:t>
      </w:r>
      <w:r w:rsidR="00913E6A" w:rsidRPr="00686018">
        <w:rPr>
          <w:rFonts w:ascii="Times New Roman" w:hAnsi="Times New Roman" w:cs="Times New Roman"/>
          <w:b/>
          <w:sz w:val="24"/>
        </w:rPr>
        <w:t xml:space="preserve"> (IES)</w:t>
      </w:r>
      <w:r w:rsidRPr="00686018">
        <w:rPr>
          <w:rFonts w:ascii="Times New Roman" w:hAnsi="Times New Roman" w:cs="Times New Roman"/>
          <w:b/>
          <w:sz w:val="24"/>
        </w:rPr>
        <w:t xml:space="preserve">. </w:t>
      </w:r>
      <w:r w:rsidRPr="00686018">
        <w:rPr>
          <w:rFonts w:ascii="Times New Roman" w:hAnsi="Times New Roman" w:cs="Times New Roman"/>
          <w:sz w:val="24"/>
        </w:rPr>
        <w:t>Capacidad de los materiales orgánicos para interactuar entre si y proveer una mayor degradabilidad de los mismos.</w:t>
      </w:r>
    </w:p>
    <w:p w:rsidR="00A92532" w:rsidRPr="00686018" w:rsidRDefault="00A92532" w:rsidP="00A31608">
      <w:pPr>
        <w:ind w:left="708"/>
        <w:jc w:val="both"/>
        <w:rPr>
          <w:rFonts w:ascii="Times New Roman" w:hAnsi="Times New Roman" w:cs="Times New Roman"/>
          <w:b/>
          <w:sz w:val="24"/>
        </w:rPr>
      </w:pPr>
      <w:r w:rsidRPr="00686018">
        <w:rPr>
          <w:rFonts w:ascii="Times New Roman" w:hAnsi="Times New Roman" w:cs="Times New Roman"/>
          <w:b/>
          <w:sz w:val="24"/>
        </w:rPr>
        <w:t xml:space="preserve">OLR. </w:t>
      </w:r>
      <w:r w:rsidRPr="00686018">
        <w:rPr>
          <w:rFonts w:ascii="Times New Roman" w:hAnsi="Times New Roman" w:cs="Times New Roman"/>
          <w:sz w:val="24"/>
        </w:rPr>
        <w:t>Razón de carga orgánica en base a la composición en solidos volátiles de los materiales orgánicos sometidos a la digestión anaerobia.</w:t>
      </w:r>
    </w:p>
    <w:p w:rsidR="00A92532" w:rsidRPr="00686018" w:rsidRDefault="00A92532" w:rsidP="00A31608">
      <w:pPr>
        <w:ind w:left="708"/>
        <w:jc w:val="both"/>
        <w:rPr>
          <w:rFonts w:ascii="Times New Roman" w:hAnsi="Times New Roman" w:cs="Times New Roman"/>
          <w:b/>
          <w:sz w:val="24"/>
        </w:rPr>
      </w:pPr>
      <w:r w:rsidRPr="00686018">
        <w:rPr>
          <w:rFonts w:ascii="Times New Roman" w:hAnsi="Times New Roman" w:cs="Times New Roman"/>
          <w:b/>
          <w:sz w:val="24"/>
        </w:rPr>
        <w:t xml:space="preserve">HRT. </w:t>
      </w:r>
      <w:r w:rsidRPr="00686018">
        <w:rPr>
          <w:rFonts w:ascii="Times New Roman" w:hAnsi="Times New Roman" w:cs="Times New Roman"/>
          <w:sz w:val="24"/>
        </w:rPr>
        <w:t>Tiempo de retención hidráulico o número de días durante el cual ocurre la conversión de los sustratos orgánicos en biogás.</w:t>
      </w:r>
    </w:p>
    <w:p w:rsidR="00A92532" w:rsidRPr="00686018" w:rsidRDefault="00A92532" w:rsidP="00A31608">
      <w:pPr>
        <w:ind w:left="708"/>
        <w:jc w:val="both"/>
        <w:rPr>
          <w:rFonts w:ascii="Times New Roman" w:hAnsi="Times New Roman" w:cs="Times New Roman"/>
          <w:sz w:val="24"/>
        </w:rPr>
      </w:pPr>
      <w:r w:rsidRPr="00686018">
        <w:rPr>
          <w:rFonts w:ascii="Times New Roman" w:hAnsi="Times New Roman" w:cs="Times New Roman"/>
          <w:b/>
          <w:sz w:val="24"/>
        </w:rPr>
        <w:t xml:space="preserve">C/N. </w:t>
      </w:r>
      <w:r w:rsidRPr="00686018">
        <w:rPr>
          <w:rFonts w:ascii="Times New Roman" w:hAnsi="Times New Roman" w:cs="Times New Roman"/>
          <w:sz w:val="24"/>
        </w:rPr>
        <w:t>Relación carbono nitrógeno del sustrato o sustratos sometidos a la digestión anaerobia, comúnmente de 20-30 necesaria para iniciar la fermentación.</w:t>
      </w:r>
    </w:p>
    <w:p w:rsidR="00913E6A" w:rsidRPr="00686018" w:rsidRDefault="00913E6A" w:rsidP="00A31608">
      <w:pPr>
        <w:ind w:left="708"/>
        <w:jc w:val="both"/>
        <w:rPr>
          <w:rFonts w:ascii="Times New Roman" w:hAnsi="Times New Roman" w:cs="Times New Roman"/>
          <w:sz w:val="24"/>
        </w:rPr>
      </w:pPr>
      <w:r w:rsidRPr="00686018">
        <w:rPr>
          <w:rFonts w:ascii="Times New Roman" w:hAnsi="Times New Roman" w:cs="Times New Roman"/>
          <w:b/>
          <w:sz w:val="24"/>
        </w:rPr>
        <w:t xml:space="preserve">RMA. </w:t>
      </w:r>
      <w:r w:rsidR="00B47D25" w:rsidRPr="00686018">
        <w:rPr>
          <w:rFonts w:ascii="Times New Roman" w:hAnsi="Times New Roman" w:cs="Times New Roman"/>
          <w:sz w:val="24"/>
        </w:rPr>
        <w:t>Rendimiento</w:t>
      </w:r>
      <w:r w:rsidRPr="00686018">
        <w:rPr>
          <w:rFonts w:ascii="Times New Roman" w:hAnsi="Times New Roman" w:cs="Times New Roman"/>
          <w:sz w:val="24"/>
        </w:rPr>
        <w:t xml:space="preserve"> de metano acumulado. </w:t>
      </w:r>
    </w:p>
    <w:p w:rsidR="00913E6A" w:rsidRPr="00686018" w:rsidRDefault="00913E6A" w:rsidP="00A31608">
      <w:pPr>
        <w:ind w:left="708"/>
        <w:jc w:val="both"/>
        <w:rPr>
          <w:rFonts w:ascii="Times New Roman" w:hAnsi="Times New Roman" w:cs="Times New Roman"/>
          <w:sz w:val="24"/>
        </w:rPr>
      </w:pPr>
      <w:r w:rsidRPr="00686018">
        <w:rPr>
          <w:rFonts w:ascii="Times New Roman" w:hAnsi="Times New Roman" w:cs="Times New Roman"/>
          <w:b/>
          <w:sz w:val="24"/>
        </w:rPr>
        <w:t>RMB.</w:t>
      </w:r>
      <w:r w:rsidRPr="00686018">
        <w:rPr>
          <w:rFonts w:ascii="Times New Roman" w:hAnsi="Times New Roman" w:cs="Times New Roman"/>
          <w:sz w:val="24"/>
        </w:rPr>
        <w:t xml:space="preserve"> </w:t>
      </w:r>
      <w:r w:rsidR="00B47D25" w:rsidRPr="00686018">
        <w:rPr>
          <w:rFonts w:ascii="Times New Roman" w:hAnsi="Times New Roman" w:cs="Times New Roman"/>
          <w:sz w:val="24"/>
        </w:rPr>
        <w:t>Rendimiento</w:t>
      </w:r>
      <w:r w:rsidRPr="00686018">
        <w:rPr>
          <w:rFonts w:ascii="Times New Roman" w:hAnsi="Times New Roman" w:cs="Times New Roman"/>
          <w:sz w:val="24"/>
        </w:rPr>
        <w:t xml:space="preserve"> de Biog</w:t>
      </w:r>
      <w:r w:rsidR="00B47D25" w:rsidRPr="00686018">
        <w:rPr>
          <w:rFonts w:ascii="Times New Roman" w:hAnsi="Times New Roman" w:cs="Times New Roman"/>
          <w:sz w:val="24"/>
        </w:rPr>
        <w:t xml:space="preserve">ás acumulado. </w:t>
      </w:r>
    </w:p>
    <w:p w:rsidR="00B47D25" w:rsidRPr="00686018" w:rsidRDefault="00B47D25" w:rsidP="00A31608">
      <w:pPr>
        <w:ind w:left="708"/>
        <w:jc w:val="both"/>
        <w:rPr>
          <w:rFonts w:ascii="Times New Roman" w:hAnsi="Times New Roman" w:cs="Times New Roman"/>
          <w:sz w:val="24"/>
        </w:rPr>
      </w:pPr>
      <w:r w:rsidRPr="00686018">
        <w:rPr>
          <w:rFonts w:ascii="Times New Roman" w:hAnsi="Times New Roman" w:cs="Times New Roman"/>
          <w:b/>
          <w:sz w:val="24"/>
        </w:rPr>
        <w:t>RME.</w:t>
      </w:r>
      <w:r w:rsidRPr="00686018">
        <w:rPr>
          <w:rFonts w:ascii="Times New Roman" w:hAnsi="Times New Roman" w:cs="Times New Roman"/>
          <w:sz w:val="24"/>
        </w:rPr>
        <w:t xml:space="preserve"> Rendimiento de metano experimental. </w:t>
      </w:r>
    </w:p>
    <w:p w:rsidR="00A92532" w:rsidRPr="00686018" w:rsidRDefault="00A92532" w:rsidP="00A31608">
      <w:pPr>
        <w:ind w:left="708"/>
        <w:jc w:val="both"/>
        <w:rPr>
          <w:rFonts w:ascii="Times New Roman" w:hAnsi="Times New Roman" w:cs="Times New Roman"/>
          <w:sz w:val="24"/>
        </w:rPr>
      </w:pPr>
      <w:r w:rsidRPr="00686018">
        <w:rPr>
          <w:rFonts w:ascii="Times New Roman" w:hAnsi="Times New Roman" w:cs="Times New Roman"/>
          <w:b/>
          <w:sz w:val="24"/>
        </w:rPr>
        <w:t xml:space="preserve">PMB. </w:t>
      </w:r>
      <w:r w:rsidRPr="00686018">
        <w:rPr>
          <w:rFonts w:ascii="Times New Roman" w:hAnsi="Times New Roman" w:cs="Times New Roman"/>
          <w:sz w:val="24"/>
        </w:rPr>
        <w:t>Prueba potencial bioquímica de metano</w:t>
      </w:r>
      <w:r w:rsidR="00ED093E" w:rsidRPr="00686018">
        <w:rPr>
          <w:rFonts w:ascii="Times New Roman" w:hAnsi="Times New Roman" w:cs="Times New Roman"/>
          <w:sz w:val="24"/>
        </w:rPr>
        <w:t>.</w:t>
      </w:r>
    </w:p>
    <w:p w:rsidR="00A92532" w:rsidRPr="00686018" w:rsidRDefault="00A92532" w:rsidP="00A31608">
      <w:pPr>
        <w:ind w:left="708"/>
        <w:jc w:val="both"/>
        <w:rPr>
          <w:rFonts w:ascii="Times New Roman" w:hAnsi="Times New Roman" w:cs="Times New Roman"/>
          <w:sz w:val="24"/>
        </w:rPr>
      </w:pPr>
      <w:r w:rsidRPr="00686018">
        <w:rPr>
          <w:rFonts w:ascii="Times New Roman" w:hAnsi="Times New Roman" w:cs="Times New Roman"/>
          <w:b/>
          <w:sz w:val="24"/>
        </w:rPr>
        <w:t>Hidrolisis</w:t>
      </w:r>
      <w:r w:rsidR="00ED093E" w:rsidRPr="00686018">
        <w:rPr>
          <w:rFonts w:ascii="Times New Roman" w:hAnsi="Times New Roman" w:cs="Times New Roman"/>
          <w:b/>
          <w:sz w:val="24"/>
        </w:rPr>
        <w:t xml:space="preserve">. </w:t>
      </w:r>
      <w:r w:rsidR="00ED093E" w:rsidRPr="00686018">
        <w:rPr>
          <w:rFonts w:ascii="Times New Roman" w:hAnsi="Times New Roman" w:cs="Times New Roman"/>
          <w:sz w:val="24"/>
        </w:rPr>
        <w:t>Primera etapa de la digestión anaerobia durante el cual ocurre la conversión de los componentes principales (carbohidratos, proteínas, grasas y ácidos nucleicos) del sustrato en componentes más simples.</w:t>
      </w:r>
    </w:p>
    <w:p w:rsidR="00A92532" w:rsidRPr="00686018" w:rsidRDefault="00A92532" w:rsidP="00A31608">
      <w:pPr>
        <w:ind w:left="708"/>
        <w:jc w:val="both"/>
        <w:rPr>
          <w:rFonts w:ascii="Times New Roman" w:hAnsi="Times New Roman" w:cs="Times New Roman"/>
          <w:b/>
          <w:sz w:val="24"/>
        </w:rPr>
      </w:pPr>
      <w:r w:rsidRPr="00686018">
        <w:rPr>
          <w:rFonts w:ascii="Times New Roman" w:hAnsi="Times New Roman" w:cs="Times New Roman"/>
          <w:b/>
          <w:sz w:val="24"/>
        </w:rPr>
        <w:t>Acidogénesis</w:t>
      </w:r>
      <w:r w:rsidR="00ED093E" w:rsidRPr="00686018">
        <w:rPr>
          <w:rFonts w:ascii="Times New Roman" w:hAnsi="Times New Roman" w:cs="Times New Roman"/>
          <w:b/>
          <w:sz w:val="24"/>
        </w:rPr>
        <w:t xml:space="preserve">. </w:t>
      </w:r>
      <w:r w:rsidR="00ED093E" w:rsidRPr="00686018">
        <w:rPr>
          <w:rFonts w:ascii="Times New Roman" w:hAnsi="Times New Roman" w:cs="Times New Roman"/>
          <w:sz w:val="24"/>
        </w:rPr>
        <w:t>Segunda etapa de la digestión anaerobia, se produce un descenso de pH del medio por la acumulación de ácidos grasos volátiles.</w:t>
      </w:r>
    </w:p>
    <w:p w:rsidR="00A92532" w:rsidRPr="00686018" w:rsidRDefault="00A92532" w:rsidP="00A31608">
      <w:pPr>
        <w:ind w:left="708"/>
        <w:jc w:val="both"/>
        <w:rPr>
          <w:rFonts w:ascii="Times New Roman" w:hAnsi="Times New Roman" w:cs="Times New Roman"/>
          <w:sz w:val="24"/>
        </w:rPr>
      </w:pPr>
      <w:r w:rsidRPr="00686018">
        <w:rPr>
          <w:rFonts w:ascii="Times New Roman" w:hAnsi="Times New Roman" w:cs="Times New Roman"/>
          <w:b/>
          <w:sz w:val="24"/>
        </w:rPr>
        <w:t>Acetogenesis</w:t>
      </w:r>
      <w:r w:rsidR="00ED093E" w:rsidRPr="00686018">
        <w:rPr>
          <w:rFonts w:ascii="Times New Roman" w:hAnsi="Times New Roman" w:cs="Times New Roman"/>
          <w:b/>
          <w:sz w:val="24"/>
        </w:rPr>
        <w:t xml:space="preserve">. </w:t>
      </w:r>
      <w:r w:rsidR="00ED093E" w:rsidRPr="00686018">
        <w:rPr>
          <w:rFonts w:ascii="Times New Roman" w:hAnsi="Times New Roman" w:cs="Times New Roman"/>
          <w:sz w:val="24"/>
        </w:rPr>
        <w:t>Tercera etapa de la digestión anaerobia; los ácidos grasos volátiles son convertidos en ácido acético.</w:t>
      </w:r>
    </w:p>
    <w:p w:rsidR="00A92532" w:rsidRPr="00686018" w:rsidRDefault="00A92532" w:rsidP="00A31608">
      <w:pPr>
        <w:ind w:left="708"/>
        <w:jc w:val="both"/>
        <w:rPr>
          <w:rFonts w:ascii="Times New Roman" w:hAnsi="Times New Roman" w:cs="Times New Roman"/>
          <w:b/>
          <w:sz w:val="24"/>
        </w:rPr>
      </w:pPr>
      <w:r w:rsidRPr="00686018">
        <w:rPr>
          <w:rFonts w:ascii="Times New Roman" w:hAnsi="Times New Roman" w:cs="Times New Roman"/>
          <w:b/>
          <w:sz w:val="24"/>
        </w:rPr>
        <w:t>Metanogénesis</w:t>
      </w:r>
      <w:r w:rsidR="00ED093E" w:rsidRPr="00686018">
        <w:rPr>
          <w:rFonts w:ascii="Times New Roman" w:hAnsi="Times New Roman" w:cs="Times New Roman"/>
          <w:b/>
          <w:sz w:val="24"/>
        </w:rPr>
        <w:t xml:space="preserve">. </w:t>
      </w:r>
      <w:r w:rsidR="00ED093E" w:rsidRPr="00686018">
        <w:rPr>
          <w:rFonts w:ascii="Times New Roman" w:hAnsi="Times New Roman" w:cs="Times New Roman"/>
          <w:sz w:val="24"/>
        </w:rPr>
        <w:t xml:space="preserve">Cuarta etapa de la digestión anaerobia, el ácido acético es convertido a metano por dos procesos: </w:t>
      </w:r>
      <w:r w:rsidR="00E16420" w:rsidRPr="00686018">
        <w:rPr>
          <w:rFonts w:ascii="Times New Roman" w:hAnsi="Times New Roman" w:cs="Times New Roman"/>
          <w:sz w:val="24"/>
        </w:rPr>
        <w:t>reacción de</w:t>
      </w:r>
      <w:r w:rsidR="00ED093E" w:rsidRPr="00686018">
        <w:rPr>
          <w:rFonts w:ascii="Times New Roman" w:hAnsi="Times New Roman" w:cs="Times New Roman"/>
          <w:sz w:val="24"/>
        </w:rPr>
        <w:t xml:space="preserve"> H2 y CO2 y directamente derivadas por las bacterias metanogenicas.</w:t>
      </w:r>
    </w:p>
    <w:p w:rsidR="00CA68E4" w:rsidRDefault="00A92532" w:rsidP="00A31608">
      <w:pPr>
        <w:ind w:left="708"/>
        <w:jc w:val="both"/>
        <w:rPr>
          <w:rFonts w:ascii="Times New Roman" w:hAnsi="Times New Roman" w:cs="Times New Roman"/>
          <w:sz w:val="24"/>
        </w:rPr>
      </w:pPr>
      <w:r w:rsidRPr="00686018">
        <w:rPr>
          <w:rFonts w:ascii="Times New Roman" w:hAnsi="Times New Roman" w:cs="Times New Roman"/>
          <w:b/>
          <w:sz w:val="24"/>
        </w:rPr>
        <w:t>Ácidos grasos volátiles</w:t>
      </w:r>
      <w:r w:rsidR="00ED093E" w:rsidRPr="00686018">
        <w:rPr>
          <w:rFonts w:ascii="Times New Roman" w:hAnsi="Times New Roman" w:cs="Times New Roman"/>
          <w:b/>
          <w:sz w:val="24"/>
        </w:rPr>
        <w:t xml:space="preserve">. </w:t>
      </w:r>
      <w:r w:rsidR="00ED093E" w:rsidRPr="00686018">
        <w:rPr>
          <w:rFonts w:ascii="Times New Roman" w:hAnsi="Times New Roman" w:cs="Times New Roman"/>
          <w:sz w:val="24"/>
        </w:rPr>
        <w:t>Derivados de la acidogenesis, compuesto por ácido acético, butírico, propioni</w:t>
      </w:r>
      <w:r w:rsidR="005C2AC7" w:rsidRPr="00686018">
        <w:rPr>
          <w:rFonts w:ascii="Times New Roman" w:hAnsi="Times New Roman" w:cs="Times New Roman"/>
          <w:sz w:val="24"/>
        </w:rPr>
        <w:t>co, isobutirico, vale</w:t>
      </w:r>
      <w:r w:rsidR="00ED093E" w:rsidRPr="00686018">
        <w:rPr>
          <w:rFonts w:ascii="Times New Roman" w:hAnsi="Times New Roman" w:cs="Times New Roman"/>
          <w:sz w:val="24"/>
        </w:rPr>
        <w:t>rico e isovalérico.</w:t>
      </w:r>
    </w:p>
    <w:p w:rsidR="00686018" w:rsidRPr="00686018" w:rsidRDefault="00686018" w:rsidP="00A31608">
      <w:pPr>
        <w:ind w:left="708"/>
        <w:jc w:val="both"/>
        <w:rPr>
          <w:rFonts w:ascii="Times New Roman" w:hAnsi="Times New Roman" w:cs="Times New Roman"/>
          <w:sz w:val="24"/>
        </w:rPr>
      </w:pPr>
    </w:p>
    <w:p w:rsidR="00CA68E4" w:rsidRDefault="00CA68E4" w:rsidP="00A31608">
      <w:pPr>
        <w:jc w:val="both"/>
        <w:rPr>
          <w:rFonts w:ascii="Times New Roman" w:hAnsi="Times New Roman" w:cs="Times New Roman"/>
        </w:rPr>
      </w:pPr>
    </w:p>
    <w:p w:rsidR="00466A2A" w:rsidRPr="00171726" w:rsidRDefault="00466A2A" w:rsidP="00466A2A">
      <w:pPr>
        <w:pStyle w:val="Descripcin"/>
        <w:rPr>
          <w:rFonts w:ascii="Times New Roman" w:hAnsi="Times New Roman" w:cs="Times New Roman"/>
          <w:b/>
          <w:i w:val="0"/>
          <w:color w:val="auto"/>
          <w:sz w:val="24"/>
          <w:szCs w:val="24"/>
        </w:rPr>
      </w:pPr>
      <w:bookmarkStart w:id="306" w:name="_Toc9501966"/>
      <w:r w:rsidRPr="00171726">
        <w:rPr>
          <w:rFonts w:ascii="Times New Roman" w:hAnsi="Times New Roman" w:cs="Times New Roman"/>
          <w:b/>
          <w:i w:val="0"/>
          <w:color w:val="auto"/>
          <w:sz w:val="24"/>
          <w:szCs w:val="24"/>
        </w:rPr>
        <w:lastRenderedPageBreak/>
        <w:t xml:space="preserve">ANEXO </w:t>
      </w:r>
      <w:r w:rsidRPr="00171726">
        <w:rPr>
          <w:rFonts w:ascii="Times New Roman" w:hAnsi="Times New Roman" w:cs="Times New Roman"/>
          <w:b/>
          <w:i w:val="0"/>
          <w:color w:val="auto"/>
          <w:sz w:val="24"/>
          <w:szCs w:val="24"/>
        </w:rPr>
        <w:fldChar w:fldCharType="begin"/>
      </w:r>
      <w:r w:rsidRPr="00171726">
        <w:rPr>
          <w:rFonts w:ascii="Times New Roman" w:hAnsi="Times New Roman" w:cs="Times New Roman"/>
          <w:b/>
          <w:i w:val="0"/>
          <w:color w:val="auto"/>
          <w:sz w:val="24"/>
          <w:szCs w:val="24"/>
        </w:rPr>
        <w:instrText xml:space="preserve"> SEQ ANEXO \* ARABIC </w:instrText>
      </w:r>
      <w:r w:rsidRPr="00171726">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4</w:t>
      </w:r>
      <w:r w:rsidRPr="00171726">
        <w:rPr>
          <w:rFonts w:ascii="Times New Roman" w:hAnsi="Times New Roman" w:cs="Times New Roman"/>
          <w:b/>
          <w:i w:val="0"/>
          <w:color w:val="auto"/>
          <w:sz w:val="24"/>
          <w:szCs w:val="24"/>
        </w:rPr>
        <w:fldChar w:fldCharType="end"/>
      </w:r>
      <w:r w:rsidRPr="00171726">
        <w:rPr>
          <w:rFonts w:ascii="Times New Roman" w:hAnsi="Times New Roman" w:cs="Times New Roman"/>
          <w:b/>
          <w:i w:val="0"/>
          <w:color w:val="auto"/>
          <w:sz w:val="24"/>
          <w:szCs w:val="24"/>
        </w:rPr>
        <w:t xml:space="preserve">. </w:t>
      </w:r>
      <w:r w:rsidRPr="00171726">
        <w:rPr>
          <w:rFonts w:ascii="Times New Roman" w:hAnsi="Times New Roman" w:cs="Times New Roman"/>
          <w:i w:val="0"/>
          <w:color w:val="auto"/>
          <w:sz w:val="24"/>
          <w:szCs w:val="24"/>
        </w:rPr>
        <w:t>Características fisicoquímicas de los sustratos e inóculo</w:t>
      </w:r>
      <w:bookmarkEnd w:id="306"/>
    </w:p>
    <w:p w:rsidR="00466A2A" w:rsidRDefault="00466A2A" w:rsidP="00466A2A">
      <w:pPr>
        <w:jc w:val="center"/>
        <w:rPr>
          <w:rFonts w:ascii="Times New Roman" w:hAnsi="Times New Roman" w:cs="Times New Roman"/>
          <w:sz w:val="24"/>
        </w:rPr>
      </w:pPr>
      <w:r>
        <w:rPr>
          <w:rFonts w:ascii="Times New Roman" w:hAnsi="Times New Roman" w:cs="Times New Roman"/>
          <w:noProof/>
          <w:sz w:val="24"/>
          <w:lang w:eastAsia="es-EC"/>
        </w:rPr>
        <w:drawing>
          <wp:inline distT="0" distB="0" distL="0" distR="0" wp14:anchorId="3432EE7B" wp14:editId="20F3ADE4">
            <wp:extent cx="5306497" cy="7251404"/>
            <wp:effectExtent l="0" t="0" r="889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_Page1.png"/>
                    <pic:cNvPicPr/>
                  </pic:nvPicPr>
                  <pic:blipFill rotWithShape="1">
                    <a:blip r:embed="rId78">
                      <a:extLst>
                        <a:ext uri="{28A0092B-C50C-407E-A947-70E740481C1C}">
                          <a14:useLocalDpi xmlns:a14="http://schemas.microsoft.com/office/drawing/2010/main" val="0"/>
                        </a:ext>
                      </a:extLst>
                    </a:blip>
                    <a:srcRect t="614"/>
                    <a:stretch/>
                  </pic:blipFill>
                  <pic:spPr bwMode="auto">
                    <a:xfrm>
                      <a:off x="0" y="0"/>
                      <a:ext cx="5308304" cy="7253873"/>
                    </a:xfrm>
                    <a:prstGeom prst="rect">
                      <a:avLst/>
                    </a:prstGeom>
                    <a:ln>
                      <a:noFill/>
                    </a:ln>
                    <a:extLst>
                      <a:ext uri="{53640926-AAD7-44D8-BBD7-CCE9431645EC}">
                        <a14:shadowObscured xmlns:a14="http://schemas.microsoft.com/office/drawing/2010/main"/>
                      </a:ext>
                    </a:extLst>
                  </pic:spPr>
                </pic:pic>
              </a:graphicData>
            </a:graphic>
          </wp:inline>
        </w:drawing>
      </w:r>
    </w:p>
    <w:p w:rsidR="00466A2A" w:rsidRDefault="00466A2A" w:rsidP="00466A2A">
      <w:pPr>
        <w:ind w:left="708"/>
        <w:jc w:val="both"/>
        <w:rPr>
          <w:rFonts w:ascii="Times New Roman" w:hAnsi="Times New Roman" w:cs="Times New Roman"/>
          <w:sz w:val="24"/>
        </w:rPr>
      </w:pPr>
    </w:p>
    <w:p w:rsidR="00466A2A" w:rsidRDefault="00466A2A" w:rsidP="00466A2A">
      <w:pPr>
        <w:rPr>
          <w:rFonts w:ascii="Times New Roman" w:hAnsi="Times New Roman" w:cs="Times New Roman"/>
          <w:sz w:val="24"/>
        </w:rPr>
      </w:pPr>
      <w:r>
        <w:rPr>
          <w:rFonts w:ascii="Times New Roman" w:hAnsi="Times New Roman" w:cs="Times New Roman"/>
          <w:noProof/>
          <w:sz w:val="24"/>
          <w:lang w:eastAsia="es-EC"/>
        </w:rPr>
        <w:lastRenderedPageBreak/>
        <w:drawing>
          <wp:inline distT="0" distB="0" distL="0" distR="0" wp14:anchorId="3F62C910" wp14:editId="4BC83E5B">
            <wp:extent cx="4997303" cy="7221369"/>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_Page2.png"/>
                    <pic:cNvPicPr/>
                  </pic:nvPicPr>
                  <pic:blipFill>
                    <a:blip r:embed="rId79">
                      <a:extLst>
                        <a:ext uri="{28A0092B-C50C-407E-A947-70E740481C1C}">
                          <a14:useLocalDpi xmlns:a14="http://schemas.microsoft.com/office/drawing/2010/main" val="0"/>
                        </a:ext>
                      </a:extLst>
                    </a:blip>
                    <a:stretch>
                      <a:fillRect/>
                    </a:stretch>
                  </pic:blipFill>
                  <pic:spPr>
                    <a:xfrm>
                      <a:off x="0" y="0"/>
                      <a:ext cx="4998905" cy="7223684"/>
                    </a:xfrm>
                    <a:prstGeom prst="rect">
                      <a:avLst/>
                    </a:prstGeom>
                  </pic:spPr>
                </pic:pic>
              </a:graphicData>
            </a:graphic>
          </wp:inline>
        </w:drawing>
      </w:r>
      <w:r>
        <w:rPr>
          <w:rFonts w:ascii="Times New Roman" w:hAnsi="Times New Roman" w:cs="Times New Roman"/>
          <w:noProof/>
          <w:sz w:val="24"/>
          <w:lang w:eastAsia="es-EC"/>
        </w:rPr>
        <w:lastRenderedPageBreak/>
        <w:drawing>
          <wp:inline distT="0" distB="0" distL="0" distR="0" wp14:anchorId="5C0D1734" wp14:editId="7D40002D">
            <wp:extent cx="5135526" cy="7733003"/>
            <wp:effectExtent l="0" t="0" r="8255" b="190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Untitled_Page3.png"/>
                    <pic:cNvPicPr/>
                  </pic:nvPicPr>
                  <pic:blipFill>
                    <a:blip r:embed="rId80">
                      <a:extLst>
                        <a:ext uri="{28A0092B-C50C-407E-A947-70E740481C1C}">
                          <a14:useLocalDpi xmlns:a14="http://schemas.microsoft.com/office/drawing/2010/main" val="0"/>
                        </a:ext>
                      </a:extLst>
                    </a:blip>
                    <a:stretch>
                      <a:fillRect/>
                    </a:stretch>
                  </pic:blipFill>
                  <pic:spPr>
                    <a:xfrm>
                      <a:off x="0" y="0"/>
                      <a:ext cx="5141347" cy="7741768"/>
                    </a:xfrm>
                    <a:prstGeom prst="rect">
                      <a:avLst/>
                    </a:prstGeom>
                  </pic:spPr>
                </pic:pic>
              </a:graphicData>
            </a:graphic>
          </wp:inline>
        </w:drawing>
      </w:r>
    </w:p>
    <w:p w:rsidR="00466A2A" w:rsidRDefault="00466A2A" w:rsidP="00466A2A">
      <w:pPr>
        <w:ind w:left="708"/>
        <w:jc w:val="both"/>
        <w:rPr>
          <w:rFonts w:ascii="Times New Roman" w:hAnsi="Times New Roman" w:cs="Times New Roman"/>
          <w:sz w:val="24"/>
        </w:rPr>
      </w:pPr>
    </w:p>
    <w:p w:rsidR="00466A2A" w:rsidRDefault="00466A2A" w:rsidP="00466A2A">
      <w:pPr>
        <w:rPr>
          <w:rFonts w:ascii="Times New Roman" w:hAnsi="Times New Roman" w:cs="Times New Roman"/>
          <w:sz w:val="24"/>
        </w:rPr>
      </w:pPr>
    </w:p>
    <w:p w:rsidR="00466A2A" w:rsidRDefault="00466A2A" w:rsidP="00466A2A">
      <w:pPr>
        <w:rPr>
          <w:rFonts w:ascii="Times New Roman" w:hAnsi="Times New Roman" w:cs="Times New Roman"/>
          <w:sz w:val="24"/>
        </w:rPr>
      </w:pPr>
      <w:r>
        <w:rPr>
          <w:rFonts w:ascii="Times New Roman" w:hAnsi="Times New Roman" w:cs="Times New Roman"/>
          <w:noProof/>
          <w:sz w:val="24"/>
          <w:lang w:eastAsia="es-EC"/>
        </w:rPr>
        <w:lastRenderedPageBreak/>
        <w:drawing>
          <wp:inline distT="0" distB="0" distL="0" distR="0" wp14:anchorId="1B53B9D5" wp14:editId="760CE10A">
            <wp:extent cx="5039995" cy="6929755"/>
            <wp:effectExtent l="0" t="0" r="8255" b="444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Untitled_Page4.png"/>
                    <pic:cNvPicPr/>
                  </pic:nvPicPr>
                  <pic:blipFill>
                    <a:blip r:embed="rId81">
                      <a:extLst>
                        <a:ext uri="{28A0092B-C50C-407E-A947-70E740481C1C}">
                          <a14:useLocalDpi xmlns:a14="http://schemas.microsoft.com/office/drawing/2010/main" val="0"/>
                        </a:ext>
                      </a:extLst>
                    </a:blip>
                    <a:stretch>
                      <a:fillRect/>
                    </a:stretch>
                  </pic:blipFill>
                  <pic:spPr>
                    <a:xfrm>
                      <a:off x="0" y="0"/>
                      <a:ext cx="5039995" cy="6929755"/>
                    </a:xfrm>
                    <a:prstGeom prst="rect">
                      <a:avLst/>
                    </a:prstGeom>
                  </pic:spPr>
                </pic:pic>
              </a:graphicData>
            </a:graphic>
          </wp:inline>
        </w:drawing>
      </w:r>
    </w:p>
    <w:p w:rsidR="00466A2A" w:rsidRDefault="00466A2A" w:rsidP="00466A2A">
      <w:pPr>
        <w:rPr>
          <w:rFonts w:ascii="Times New Roman" w:hAnsi="Times New Roman" w:cs="Times New Roman"/>
          <w:sz w:val="24"/>
        </w:rPr>
      </w:pPr>
    </w:p>
    <w:p w:rsidR="00466A2A" w:rsidRDefault="00466A2A" w:rsidP="00466A2A">
      <w:pPr>
        <w:rPr>
          <w:rFonts w:ascii="Times New Roman" w:hAnsi="Times New Roman" w:cs="Times New Roman"/>
          <w:sz w:val="24"/>
        </w:rPr>
      </w:pPr>
    </w:p>
    <w:p w:rsidR="00466A2A" w:rsidRDefault="00466A2A" w:rsidP="00466A2A">
      <w:pPr>
        <w:rPr>
          <w:rFonts w:ascii="Times New Roman" w:hAnsi="Times New Roman" w:cs="Times New Roman"/>
          <w:sz w:val="24"/>
        </w:rPr>
      </w:pPr>
    </w:p>
    <w:p w:rsidR="00466A2A" w:rsidRDefault="00466A2A" w:rsidP="00466A2A">
      <w:pPr>
        <w:rPr>
          <w:rFonts w:ascii="Times New Roman" w:hAnsi="Times New Roman" w:cs="Times New Roman"/>
          <w:sz w:val="24"/>
        </w:rPr>
      </w:pPr>
    </w:p>
    <w:p w:rsidR="00466A2A" w:rsidRDefault="00466A2A" w:rsidP="00466A2A">
      <w:pPr>
        <w:rPr>
          <w:rFonts w:ascii="Times New Roman" w:hAnsi="Times New Roman" w:cs="Times New Roman"/>
          <w:sz w:val="24"/>
        </w:rPr>
      </w:pPr>
    </w:p>
    <w:p w:rsidR="00466A2A" w:rsidRDefault="00466A2A" w:rsidP="00466A2A">
      <w:pPr>
        <w:rPr>
          <w:rFonts w:ascii="Times New Roman" w:hAnsi="Times New Roman" w:cs="Times New Roman"/>
          <w:sz w:val="24"/>
        </w:rPr>
      </w:pPr>
      <w:r>
        <w:rPr>
          <w:rFonts w:ascii="Times New Roman" w:hAnsi="Times New Roman" w:cs="Times New Roman"/>
          <w:noProof/>
          <w:sz w:val="24"/>
          <w:lang w:eastAsia="es-EC"/>
        </w:rPr>
        <w:lastRenderedPageBreak/>
        <w:drawing>
          <wp:inline distT="0" distB="0" distL="0" distR="0" wp14:anchorId="67223378" wp14:editId="261D5FBB">
            <wp:extent cx="5039995" cy="6929755"/>
            <wp:effectExtent l="0" t="0" r="8255" b="444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ntitled_Page5.png"/>
                    <pic:cNvPicPr/>
                  </pic:nvPicPr>
                  <pic:blipFill>
                    <a:blip r:embed="rId82">
                      <a:extLst>
                        <a:ext uri="{28A0092B-C50C-407E-A947-70E740481C1C}">
                          <a14:useLocalDpi xmlns:a14="http://schemas.microsoft.com/office/drawing/2010/main" val="0"/>
                        </a:ext>
                      </a:extLst>
                    </a:blip>
                    <a:stretch>
                      <a:fillRect/>
                    </a:stretch>
                  </pic:blipFill>
                  <pic:spPr>
                    <a:xfrm>
                      <a:off x="0" y="0"/>
                      <a:ext cx="5039995" cy="6929755"/>
                    </a:xfrm>
                    <a:prstGeom prst="rect">
                      <a:avLst/>
                    </a:prstGeom>
                  </pic:spPr>
                </pic:pic>
              </a:graphicData>
            </a:graphic>
          </wp:inline>
        </w:drawing>
      </w:r>
    </w:p>
    <w:p w:rsidR="00466A2A" w:rsidRDefault="00466A2A" w:rsidP="00466A2A">
      <w:pPr>
        <w:ind w:left="708"/>
        <w:jc w:val="both"/>
        <w:rPr>
          <w:rFonts w:ascii="Times New Roman" w:hAnsi="Times New Roman" w:cs="Times New Roman"/>
          <w:sz w:val="24"/>
        </w:rPr>
      </w:pPr>
    </w:p>
    <w:p w:rsidR="007C6631" w:rsidRDefault="007C6631" w:rsidP="00891002">
      <w:pPr>
        <w:jc w:val="both"/>
        <w:rPr>
          <w:rFonts w:ascii="Times New Roman" w:hAnsi="Times New Roman" w:cs="Times New Roman"/>
          <w:sz w:val="24"/>
        </w:rPr>
      </w:pPr>
    </w:p>
    <w:p w:rsidR="00711FF6" w:rsidRDefault="00711FF6" w:rsidP="00A31608">
      <w:pPr>
        <w:ind w:left="708"/>
        <w:jc w:val="both"/>
        <w:rPr>
          <w:rFonts w:ascii="Times New Roman" w:hAnsi="Times New Roman" w:cs="Times New Roman"/>
          <w:sz w:val="24"/>
        </w:rPr>
      </w:pPr>
    </w:p>
    <w:p w:rsidR="00711FF6" w:rsidRDefault="00711FF6" w:rsidP="00A31608">
      <w:pPr>
        <w:ind w:left="708"/>
        <w:jc w:val="both"/>
        <w:rPr>
          <w:rFonts w:ascii="Times New Roman" w:hAnsi="Times New Roman" w:cs="Times New Roman"/>
          <w:sz w:val="24"/>
        </w:rPr>
      </w:pPr>
    </w:p>
    <w:p w:rsidR="00171726" w:rsidRPr="00686018" w:rsidRDefault="00171726" w:rsidP="00A31608">
      <w:pPr>
        <w:jc w:val="both"/>
        <w:rPr>
          <w:rFonts w:ascii="Times New Roman" w:hAnsi="Times New Roman" w:cs="Times New Roman"/>
          <w:sz w:val="24"/>
        </w:rPr>
      </w:pPr>
      <w:bookmarkStart w:id="307" w:name="_GoBack"/>
      <w:bookmarkEnd w:id="307"/>
    </w:p>
    <w:p w:rsidR="00171726" w:rsidRPr="00171726" w:rsidRDefault="00171726" w:rsidP="00171726">
      <w:pPr>
        <w:pStyle w:val="Descripcin"/>
        <w:spacing w:before="360" w:after="360"/>
        <w:rPr>
          <w:rFonts w:ascii="Times New Roman" w:hAnsi="Times New Roman" w:cs="Times New Roman"/>
          <w:b/>
          <w:i w:val="0"/>
          <w:color w:val="auto"/>
          <w:sz w:val="24"/>
          <w:szCs w:val="24"/>
        </w:rPr>
      </w:pPr>
      <w:bookmarkStart w:id="308" w:name="_Toc9537933"/>
      <w:r w:rsidRPr="00171726">
        <w:rPr>
          <w:rFonts w:ascii="Times New Roman" w:hAnsi="Times New Roman" w:cs="Times New Roman"/>
          <w:b/>
          <w:i w:val="0"/>
          <w:color w:val="auto"/>
          <w:sz w:val="24"/>
          <w:szCs w:val="24"/>
        </w:rPr>
        <w:lastRenderedPageBreak/>
        <w:t xml:space="preserve">ANEXO </w:t>
      </w:r>
      <w:r w:rsidRPr="00171726">
        <w:rPr>
          <w:rFonts w:ascii="Times New Roman" w:hAnsi="Times New Roman" w:cs="Times New Roman"/>
          <w:b/>
          <w:i w:val="0"/>
          <w:color w:val="auto"/>
          <w:sz w:val="24"/>
          <w:szCs w:val="24"/>
        </w:rPr>
        <w:fldChar w:fldCharType="begin"/>
      </w:r>
      <w:r w:rsidRPr="00171726">
        <w:rPr>
          <w:rFonts w:ascii="Times New Roman" w:hAnsi="Times New Roman" w:cs="Times New Roman"/>
          <w:b/>
          <w:i w:val="0"/>
          <w:color w:val="auto"/>
          <w:sz w:val="24"/>
          <w:szCs w:val="24"/>
        </w:rPr>
        <w:instrText xml:space="preserve"> SEQ ANEXO \* ARABIC </w:instrText>
      </w:r>
      <w:r w:rsidRPr="00171726">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5</w:t>
      </w:r>
      <w:r w:rsidRPr="00171726">
        <w:rPr>
          <w:rFonts w:ascii="Times New Roman" w:hAnsi="Times New Roman" w:cs="Times New Roman"/>
          <w:b/>
          <w:i w:val="0"/>
          <w:color w:val="auto"/>
          <w:sz w:val="24"/>
          <w:szCs w:val="24"/>
        </w:rPr>
        <w:fldChar w:fldCharType="end"/>
      </w:r>
      <w:r w:rsidRPr="00171726">
        <w:rPr>
          <w:rFonts w:ascii="Times New Roman" w:hAnsi="Times New Roman" w:cs="Times New Roman"/>
          <w:b/>
          <w:i w:val="0"/>
          <w:color w:val="auto"/>
          <w:sz w:val="24"/>
          <w:szCs w:val="24"/>
        </w:rPr>
        <w:t xml:space="preserve">. </w:t>
      </w:r>
      <w:r w:rsidR="00466A2A" w:rsidRPr="00466A2A">
        <w:rPr>
          <w:rFonts w:ascii="Times New Roman" w:hAnsi="Times New Roman" w:cs="Times New Roman"/>
          <w:i w:val="0"/>
          <w:color w:val="auto"/>
          <w:sz w:val="24"/>
          <w:szCs w:val="24"/>
        </w:rPr>
        <w:t>C</w:t>
      </w:r>
      <w:r w:rsidRPr="00171726">
        <w:rPr>
          <w:rFonts w:ascii="Times New Roman" w:hAnsi="Times New Roman" w:cs="Times New Roman"/>
          <w:i w:val="0"/>
          <w:color w:val="auto"/>
          <w:sz w:val="24"/>
          <w:szCs w:val="24"/>
        </w:rPr>
        <w:t>oncentración de biogás y metano diario a los 40 días de digestión.</w:t>
      </w:r>
      <w:bookmarkEnd w:id="308"/>
    </w:p>
    <w:p w:rsidR="007F080F" w:rsidRPr="00416C9D" w:rsidRDefault="007F080F" w:rsidP="00416C9D">
      <w:pPr>
        <w:spacing w:before="360" w:after="360"/>
        <w:rPr>
          <w:rFonts w:ascii="Times New Roman" w:hAnsi="Times New Roman" w:cs="Times New Roman"/>
          <w:b/>
          <w:sz w:val="24"/>
          <w:szCs w:val="24"/>
        </w:rPr>
      </w:pPr>
      <w:r w:rsidRPr="00416C9D">
        <w:rPr>
          <w:rFonts w:ascii="Times New Roman" w:hAnsi="Times New Roman" w:cs="Times New Roman"/>
          <w:b/>
          <w:sz w:val="24"/>
          <w:szCs w:val="24"/>
        </w:rPr>
        <w:t xml:space="preserve">Experimento </w:t>
      </w:r>
      <w:r w:rsidR="00416C9D">
        <w:rPr>
          <w:rFonts w:ascii="Times New Roman" w:hAnsi="Times New Roman" w:cs="Times New Roman"/>
          <w:b/>
          <w:sz w:val="24"/>
          <w:szCs w:val="24"/>
        </w:rPr>
        <w:t>I:S</w:t>
      </w:r>
      <w:r w:rsidRPr="00416C9D">
        <w:rPr>
          <w:rFonts w:ascii="Times New Roman" w:hAnsi="Times New Roman" w:cs="Times New Roman"/>
          <w:b/>
          <w:sz w:val="24"/>
          <w:szCs w:val="24"/>
        </w:rPr>
        <w:t xml:space="preserve"> – 2:1</w:t>
      </w:r>
    </w:p>
    <w:tbl>
      <w:tblPr>
        <w:tblW w:w="7792" w:type="dxa"/>
        <w:jc w:val="center"/>
        <w:tblCellMar>
          <w:left w:w="70" w:type="dxa"/>
          <w:right w:w="70" w:type="dxa"/>
        </w:tblCellMar>
        <w:tblLook w:val="04A0" w:firstRow="1" w:lastRow="0" w:firstColumn="1" w:lastColumn="0" w:noHBand="0" w:noVBand="1"/>
      </w:tblPr>
      <w:tblGrid>
        <w:gridCol w:w="707"/>
        <w:gridCol w:w="707"/>
        <w:gridCol w:w="707"/>
        <w:gridCol w:w="707"/>
        <w:gridCol w:w="707"/>
        <w:gridCol w:w="714"/>
        <w:gridCol w:w="707"/>
        <w:gridCol w:w="707"/>
        <w:gridCol w:w="707"/>
        <w:gridCol w:w="707"/>
        <w:gridCol w:w="715"/>
      </w:tblGrid>
      <w:tr w:rsidR="007F080F" w:rsidRPr="00686018" w:rsidTr="00B245B9">
        <w:trPr>
          <w:trHeight w:val="277"/>
          <w:jc w:val="center"/>
        </w:trPr>
        <w:tc>
          <w:tcPr>
            <w:tcW w:w="707" w:type="dxa"/>
            <w:vMerge w:val="restart"/>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b/>
                <w:bCs/>
                <w:sz w:val="18"/>
                <w:szCs w:val="18"/>
                <w:lang w:eastAsia="es-EC"/>
              </w:rPr>
            </w:pPr>
            <w:r w:rsidRPr="00686018">
              <w:rPr>
                <w:rFonts w:ascii="Times New Roman" w:eastAsia="Times New Roman" w:hAnsi="Times New Roman" w:cs="Times New Roman"/>
                <w:b/>
                <w:bCs/>
                <w:sz w:val="18"/>
                <w:szCs w:val="18"/>
                <w:lang w:eastAsia="es-EC"/>
              </w:rPr>
              <w:t>Día</w:t>
            </w:r>
          </w:p>
        </w:tc>
        <w:tc>
          <w:tcPr>
            <w:tcW w:w="3542" w:type="dxa"/>
            <w:gridSpan w:val="5"/>
            <w:tcBorders>
              <w:top w:val="single" w:sz="4" w:space="0" w:color="auto"/>
              <w:bottom w:val="single" w:sz="4" w:space="0" w:color="auto"/>
              <w:right w:val="single" w:sz="4" w:space="0" w:color="auto"/>
            </w:tcBorders>
            <w:shd w:val="clear" w:color="auto" w:fill="auto"/>
            <w:noWrap/>
            <w:vAlign w:val="center"/>
            <w:hideMark/>
          </w:tcPr>
          <w:p w:rsidR="007F080F" w:rsidRPr="00686018" w:rsidRDefault="00DD14D0" w:rsidP="00B245B9">
            <w:pPr>
              <w:spacing w:after="0" w:line="240" w:lineRule="auto"/>
              <w:jc w:val="center"/>
              <w:rPr>
                <w:rFonts w:ascii="Times New Roman" w:eastAsia="Times New Roman" w:hAnsi="Times New Roman" w:cs="Times New Roman"/>
                <w:b/>
                <w:bCs/>
                <w:sz w:val="18"/>
                <w:szCs w:val="18"/>
                <w:lang w:eastAsia="es-EC"/>
              </w:rPr>
            </w:pPr>
            <w:r>
              <w:rPr>
                <w:rFonts w:ascii="Times New Roman" w:eastAsia="Times New Roman" w:hAnsi="Times New Roman" w:cs="Times New Roman"/>
                <w:b/>
                <w:bCs/>
                <w:sz w:val="18"/>
                <w:szCs w:val="18"/>
                <w:lang w:eastAsia="es-EC"/>
              </w:rPr>
              <w:t>mL</w:t>
            </w:r>
            <w:r w:rsidR="007F080F" w:rsidRPr="00686018">
              <w:rPr>
                <w:rFonts w:ascii="Times New Roman" w:eastAsia="Times New Roman" w:hAnsi="Times New Roman" w:cs="Times New Roman"/>
                <w:b/>
                <w:bCs/>
                <w:sz w:val="18"/>
                <w:szCs w:val="18"/>
                <w:lang w:eastAsia="es-EC"/>
              </w:rPr>
              <w:t xml:space="preserve"> de Biogás/g-SV</w:t>
            </w:r>
          </w:p>
        </w:tc>
        <w:tc>
          <w:tcPr>
            <w:tcW w:w="3543" w:type="dxa"/>
            <w:gridSpan w:val="5"/>
            <w:tcBorders>
              <w:top w:val="single" w:sz="4" w:space="0" w:color="auto"/>
              <w:left w:val="single" w:sz="4" w:space="0" w:color="auto"/>
              <w:bottom w:val="single" w:sz="4" w:space="0" w:color="auto"/>
            </w:tcBorders>
            <w:shd w:val="clear" w:color="auto" w:fill="auto"/>
            <w:noWrap/>
            <w:vAlign w:val="center"/>
            <w:hideMark/>
          </w:tcPr>
          <w:p w:rsidR="007F080F" w:rsidRPr="00686018" w:rsidRDefault="00DD14D0" w:rsidP="00B245B9">
            <w:pPr>
              <w:spacing w:after="0" w:line="240" w:lineRule="auto"/>
              <w:jc w:val="center"/>
              <w:rPr>
                <w:rFonts w:ascii="Times New Roman" w:eastAsia="Times New Roman" w:hAnsi="Times New Roman" w:cs="Times New Roman"/>
                <w:b/>
                <w:bCs/>
                <w:sz w:val="18"/>
                <w:szCs w:val="18"/>
                <w:lang w:eastAsia="es-EC"/>
              </w:rPr>
            </w:pPr>
            <w:r>
              <w:rPr>
                <w:rFonts w:ascii="Times New Roman" w:eastAsia="Times New Roman" w:hAnsi="Times New Roman" w:cs="Times New Roman"/>
                <w:b/>
                <w:bCs/>
                <w:sz w:val="18"/>
                <w:szCs w:val="18"/>
                <w:lang w:eastAsia="es-EC"/>
              </w:rPr>
              <w:t>mL</w:t>
            </w:r>
            <w:r w:rsidR="007F080F" w:rsidRPr="00686018">
              <w:rPr>
                <w:rFonts w:ascii="Times New Roman" w:eastAsia="Times New Roman" w:hAnsi="Times New Roman" w:cs="Times New Roman"/>
                <w:b/>
                <w:bCs/>
                <w:sz w:val="18"/>
                <w:szCs w:val="18"/>
                <w:lang w:eastAsia="es-EC"/>
              </w:rPr>
              <w:t xml:space="preserve"> de Metano/g-SV</w:t>
            </w:r>
          </w:p>
        </w:tc>
      </w:tr>
      <w:tr w:rsidR="00711FF6" w:rsidRPr="00686018" w:rsidTr="00B245B9">
        <w:trPr>
          <w:trHeight w:val="277"/>
          <w:jc w:val="center"/>
        </w:trPr>
        <w:tc>
          <w:tcPr>
            <w:tcW w:w="707" w:type="dxa"/>
            <w:vMerge/>
            <w:tcBorders>
              <w:bottom w:val="single" w:sz="4" w:space="0" w:color="auto"/>
            </w:tcBorders>
            <w:shd w:val="clear" w:color="auto" w:fill="auto"/>
            <w:vAlign w:val="center"/>
            <w:hideMark/>
          </w:tcPr>
          <w:p w:rsidR="008C30B4" w:rsidRPr="00686018" w:rsidRDefault="008C30B4" w:rsidP="00B245B9">
            <w:pPr>
              <w:spacing w:after="0" w:line="240" w:lineRule="auto"/>
              <w:jc w:val="center"/>
              <w:rPr>
                <w:rFonts w:ascii="Times New Roman" w:eastAsia="Times New Roman" w:hAnsi="Times New Roman" w:cs="Times New Roman"/>
                <w:b/>
                <w:bCs/>
                <w:sz w:val="18"/>
                <w:szCs w:val="18"/>
                <w:lang w:eastAsia="es-EC"/>
              </w:rPr>
            </w:pPr>
          </w:p>
        </w:tc>
        <w:tc>
          <w:tcPr>
            <w:tcW w:w="707"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07"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07"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07"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 3</w:t>
            </w:r>
            <w:r w:rsidRPr="00686018">
              <w:rPr>
                <w:rFonts w:ascii="Times New Roman" w:eastAsia="Times New Roman" w:hAnsi="Times New Roman" w:cs="Times New Roman"/>
                <w:b/>
                <w:bCs/>
                <w:color w:val="FF0000"/>
                <w:sz w:val="18"/>
                <w:szCs w:val="18"/>
                <w:lang w:eastAsia="es-EC"/>
              </w:rPr>
              <w:t>:1</w:t>
            </w:r>
          </w:p>
        </w:tc>
        <w:tc>
          <w:tcPr>
            <w:tcW w:w="713" w:type="dxa"/>
            <w:tcBorders>
              <w:top w:val="single" w:sz="4" w:space="0" w:color="auto"/>
              <w:bottom w:val="single" w:sz="4" w:space="0" w:color="auto"/>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c>
          <w:tcPr>
            <w:tcW w:w="707" w:type="dxa"/>
            <w:tcBorders>
              <w:top w:val="single" w:sz="4" w:space="0" w:color="auto"/>
              <w:left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07"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07"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07"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 3</w:t>
            </w:r>
            <w:r w:rsidRPr="00686018">
              <w:rPr>
                <w:rFonts w:ascii="Times New Roman" w:eastAsia="Times New Roman" w:hAnsi="Times New Roman" w:cs="Times New Roman"/>
                <w:b/>
                <w:bCs/>
                <w:color w:val="FF0000"/>
                <w:sz w:val="18"/>
                <w:szCs w:val="18"/>
                <w:lang w:eastAsia="es-EC"/>
              </w:rPr>
              <w:t>:1</w:t>
            </w:r>
          </w:p>
        </w:tc>
        <w:tc>
          <w:tcPr>
            <w:tcW w:w="710"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r>
      <w:tr w:rsidR="00711FF6" w:rsidRPr="00686018" w:rsidTr="00B245B9">
        <w:trPr>
          <w:trHeight w:val="277"/>
          <w:jc w:val="center"/>
        </w:trPr>
        <w:tc>
          <w:tcPr>
            <w:tcW w:w="707"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w:t>
            </w:r>
          </w:p>
        </w:tc>
        <w:tc>
          <w:tcPr>
            <w:tcW w:w="707"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27,900</w:t>
            </w:r>
          </w:p>
        </w:tc>
        <w:tc>
          <w:tcPr>
            <w:tcW w:w="707"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30,271</w:t>
            </w:r>
          </w:p>
        </w:tc>
        <w:tc>
          <w:tcPr>
            <w:tcW w:w="707"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31,116</w:t>
            </w:r>
          </w:p>
        </w:tc>
        <w:tc>
          <w:tcPr>
            <w:tcW w:w="707"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31,116</w:t>
            </w:r>
          </w:p>
        </w:tc>
        <w:tc>
          <w:tcPr>
            <w:tcW w:w="713" w:type="dxa"/>
            <w:tcBorders>
              <w:top w:val="single" w:sz="4" w:space="0" w:color="auto"/>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31,538</w:t>
            </w:r>
          </w:p>
        </w:tc>
        <w:tc>
          <w:tcPr>
            <w:tcW w:w="707" w:type="dxa"/>
            <w:tcBorders>
              <w:top w:val="single" w:sz="4" w:space="0" w:color="auto"/>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11,101</w:t>
            </w:r>
          </w:p>
        </w:tc>
        <w:tc>
          <w:tcPr>
            <w:tcW w:w="707"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15,354</w:t>
            </w:r>
          </w:p>
        </w:tc>
        <w:tc>
          <w:tcPr>
            <w:tcW w:w="707"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18,089</w:t>
            </w:r>
          </w:p>
        </w:tc>
        <w:tc>
          <w:tcPr>
            <w:tcW w:w="707"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20,312</w:t>
            </w:r>
          </w:p>
        </w:tc>
        <w:tc>
          <w:tcPr>
            <w:tcW w:w="710" w:type="dxa"/>
            <w:tcBorders>
              <w:top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21,649</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39,431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40,373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44,887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46,771</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50,279</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19,409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22,202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21,921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25,757</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34,548</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36,475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28,777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27,738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28,582</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28,842</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22,366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19,319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19,846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22,066</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23,634</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41,509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27,121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13,966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11,628</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10,459</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25,510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18,074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10,849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9,712</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9,501</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49,240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45,082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31,181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19,098</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11,336</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30,338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29,066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22,212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14,768</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9,620</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36,475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30,759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38,424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22,606</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10,394</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22,723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19,034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26,036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16,323</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8,565</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18,546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15,103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18,579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9,841</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4,482</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10,821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9,611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12,474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7,409</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3,142</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26,666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26,211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26,699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26,536</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17,344</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14,934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15,472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16,364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17,492</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12,321</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21,469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20,008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24,490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20,235</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12,310</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11,851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11,666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14,906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12,979</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9,155</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16,825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15,753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17,312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15,785</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17,507</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10,394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10,215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11,442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11,294</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12,681</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13,804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13,512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13,544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13,869</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14,616</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8,293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8,406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8,444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9,877</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10,136</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11,277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11,472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11,992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10,205</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10,985</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7,017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7,466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8,134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6,688</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7,918</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10,101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11,595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11,400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10,361</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10,491</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6,634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7,482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7,662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7,369</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7,526</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9,094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10,848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10,134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8,997</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7,698</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5,483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6,781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6,517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5,932</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6,130</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10,296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11,303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9,289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10,361</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7,340</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6,160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7,096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5,846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7,153</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5,632</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6,983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10,686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8,217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9,224</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6,691</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4,908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7,543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5,822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6,990</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5,010</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7,405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11,076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9,484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10,751</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7,211</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3,971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5,465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5,910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6,507</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4,837</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7,665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9,159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7,893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6,074</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5,229</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5,154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6,094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5,285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4,748</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2,673</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6,561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8,152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8,705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6,658</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6,269</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4,160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5,303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5,581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4,832</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4,373</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6,009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8,412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8,412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7,860</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5,392</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3,920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4,921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5,120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5,057</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3,256</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4,222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6,821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7,340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6,236</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3,833</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2,947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4,883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5,749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4,026</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3,107</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5,002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6,983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8,932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7,211</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4,450</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3,462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4,938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5,954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4,607</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3,307</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3,833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6,561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7,178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5,879</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4,255</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1,245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4,418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5,012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3,489</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3,343</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3,898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6,074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7,925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6,496</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3,443</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2,350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4,022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4,936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3,819</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1,928</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3,508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5,067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7,535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4,807</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2,209</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2,048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3,031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5,325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2,956</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1,464</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3,898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5,976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9,224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6,009</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5,229</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1,975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4,039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6,443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3,398</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3,347</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4,580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6,626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2,598</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6,041</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1,699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3,236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4,329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2,396</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4,028</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1,299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2,533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4,092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3,248</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5,099</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2,216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3,462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4,578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4,009</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4,390</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2,566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3,053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3,768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2,598</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4,352</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2,082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2,332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3,148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2,118</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2,721</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3,053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4,417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3,995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2,891</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4,385</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2,671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2,010</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3,169</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4,028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4,775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6,626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4,482</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6,236</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1,931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1,827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2,947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2,514</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3,388</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3,930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4,385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6,171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4,645</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3,833</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2,354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1,377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2,608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2,625</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2,122</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4,515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4,287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6,074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5,034</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3,670</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2,711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2,841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2,106</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1,961</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4,515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4,287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6,074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5,034</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3,995</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2,711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2,390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2,841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2,106</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2,137</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4,125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3,865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6,528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4,807</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4,417</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2,542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1,968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2,982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2,823</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2,280</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3,508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5,002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5,522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4,872</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3,248</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1,605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1,984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2,348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2,666</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1,901</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37</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4,028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4,190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4,450</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4,255</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2,663</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1,586</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1,595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1,948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2,453</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1,450</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4,222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4,028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3,995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4,742</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2,241</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1,661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1,233</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0,918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1,534</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1,277</w:t>
            </w:r>
          </w:p>
        </w:tc>
      </w:tr>
      <w:tr w:rsidR="00711FF6" w:rsidRPr="00686018" w:rsidTr="00B245B9">
        <w:trPr>
          <w:trHeight w:val="277"/>
          <w:jc w:val="center"/>
        </w:trPr>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39</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3,475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3,605</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3,638</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4,645</w:t>
            </w:r>
          </w:p>
        </w:tc>
        <w:tc>
          <w:tcPr>
            <w:tcW w:w="713" w:type="dxa"/>
            <w:tcBorders>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2,111</w:t>
            </w:r>
          </w:p>
        </w:tc>
        <w:tc>
          <w:tcPr>
            <w:tcW w:w="707" w:type="dxa"/>
            <w:tcBorders>
              <w:lef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0,124</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0,141</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0,082</w:t>
            </w:r>
          </w:p>
        </w:tc>
        <w:tc>
          <w:tcPr>
            <w:tcW w:w="707"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1,996</w:t>
            </w:r>
          </w:p>
        </w:tc>
        <w:tc>
          <w:tcPr>
            <w:tcW w:w="710" w:type="dxa"/>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1,086</w:t>
            </w:r>
          </w:p>
        </w:tc>
      </w:tr>
      <w:tr w:rsidR="00711FF6" w:rsidRPr="00686018" w:rsidTr="00B245B9">
        <w:trPr>
          <w:trHeight w:val="277"/>
          <w:jc w:val="center"/>
        </w:trPr>
        <w:tc>
          <w:tcPr>
            <w:tcW w:w="707"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w:t>
            </w:r>
          </w:p>
        </w:tc>
        <w:tc>
          <w:tcPr>
            <w:tcW w:w="707"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3,508</w:t>
            </w:r>
          </w:p>
        </w:tc>
        <w:tc>
          <w:tcPr>
            <w:tcW w:w="707"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3,768</w:t>
            </w:r>
          </w:p>
        </w:tc>
        <w:tc>
          <w:tcPr>
            <w:tcW w:w="707"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4,092</w:t>
            </w:r>
          </w:p>
        </w:tc>
        <w:tc>
          <w:tcPr>
            <w:tcW w:w="707"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4,677</w:t>
            </w:r>
          </w:p>
        </w:tc>
        <w:tc>
          <w:tcPr>
            <w:tcW w:w="713" w:type="dxa"/>
            <w:tcBorders>
              <w:bottom w:val="single" w:sz="4" w:space="0" w:color="auto"/>
              <w:right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2,404</w:t>
            </w:r>
          </w:p>
        </w:tc>
        <w:tc>
          <w:tcPr>
            <w:tcW w:w="707" w:type="dxa"/>
            <w:tcBorders>
              <w:left w:val="single" w:sz="4" w:space="0" w:color="auto"/>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0,081</w:t>
            </w:r>
          </w:p>
        </w:tc>
        <w:tc>
          <w:tcPr>
            <w:tcW w:w="707"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0,146</w:t>
            </w:r>
          </w:p>
        </w:tc>
        <w:tc>
          <w:tcPr>
            <w:tcW w:w="707"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0,086</w:t>
            </w:r>
          </w:p>
        </w:tc>
        <w:tc>
          <w:tcPr>
            <w:tcW w:w="707"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0,284</w:t>
            </w:r>
          </w:p>
        </w:tc>
        <w:tc>
          <w:tcPr>
            <w:tcW w:w="710" w:type="dxa"/>
            <w:tcBorders>
              <w:bottom w:val="single" w:sz="4" w:space="0" w:color="auto"/>
            </w:tcBorders>
            <w:shd w:val="clear" w:color="auto" w:fill="auto"/>
            <w:noWrap/>
            <w:vAlign w:val="center"/>
            <w:hideMark/>
          </w:tcPr>
          <w:p w:rsidR="007F080F" w:rsidRPr="00686018" w:rsidRDefault="007F080F"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0,116</w:t>
            </w:r>
          </w:p>
        </w:tc>
      </w:tr>
    </w:tbl>
    <w:p w:rsidR="007F080F" w:rsidRPr="00686018" w:rsidRDefault="007F080F" w:rsidP="00A31608">
      <w:pPr>
        <w:jc w:val="both"/>
        <w:rPr>
          <w:rFonts w:ascii="Times New Roman" w:hAnsi="Times New Roman" w:cs="Times New Roman"/>
        </w:rPr>
      </w:pPr>
    </w:p>
    <w:p w:rsidR="00416C9D" w:rsidRPr="00416C9D" w:rsidRDefault="00416C9D" w:rsidP="00416C9D">
      <w:pPr>
        <w:spacing w:before="360" w:after="360"/>
        <w:rPr>
          <w:rFonts w:ascii="Times New Roman" w:hAnsi="Times New Roman" w:cs="Times New Roman"/>
          <w:b/>
          <w:sz w:val="24"/>
          <w:szCs w:val="24"/>
        </w:rPr>
      </w:pPr>
      <w:r w:rsidRPr="00416C9D">
        <w:rPr>
          <w:rFonts w:ascii="Times New Roman" w:hAnsi="Times New Roman" w:cs="Times New Roman"/>
          <w:b/>
          <w:sz w:val="24"/>
          <w:szCs w:val="24"/>
        </w:rPr>
        <w:lastRenderedPageBreak/>
        <w:t xml:space="preserve">Experimento </w:t>
      </w:r>
      <w:r>
        <w:rPr>
          <w:rFonts w:ascii="Times New Roman" w:hAnsi="Times New Roman" w:cs="Times New Roman"/>
          <w:b/>
          <w:sz w:val="24"/>
          <w:szCs w:val="24"/>
        </w:rPr>
        <w:t>I:S</w:t>
      </w:r>
      <w:r w:rsidRPr="00416C9D">
        <w:rPr>
          <w:rFonts w:ascii="Times New Roman" w:hAnsi="Times New Roman" w:cs="Times New Roman"/>
          <w:b/>
          <w:sz w:val="24"/>
          <w:szCs w:val="24"/>
        </w:rPr>
        <w:t xml:space="preserve"> – </w:t>
      </w:r>
      <w:r>
        <w:rPr>
          <w:rFonts w:ascii="Times New Roman" w:hAnsi="Times New Roman" w:cs="Times New Roman"/>
          <w:b/>
          <w:sz w:val="24"/>
          <w:szCs w:val="24"/>
        </w:rPr>
        <w:t>1</w:t>
      </w:r>
      <w:r w:rsidRPr="00416C9D">
        <w:rPr>
          <w:rFonts w:ascii="Times New Roman" w:hAnsi="Times New Roman" w:cs="Times New Roman"/>
          <w:b/>
          <w:sz w:val="24"/>
          <w:szCs w:val="24"/>
        </w:rPr>
        <w:t>:1</w:t>
      </w:r>
    </w:p>
    <w:tbl>
      <w:tblPr>
        <w:tblW w:w="7840" w:type="dxa"/>
        <w:jc w:val="center"/>
        <w:tblCellMar>
          <w:left w:w="70" w:type="dxa"/>
          <w:right w:w="70" w:type="dxa"/>
        </w:tblCellMar>
        <w:tblLook w:val="04A0" w:firstRow="1" w:lastRow="0" w:firstColumn="1" w:lastColumn="0" w:noHBand="0" w:noVBand="1"/>
      </w:tblPr>
      <w:tblGrid>
        <w:gridCol w:w="709"/>
        <w:gridCol w:w="709"/>
        <w:gridCol w:w="709"/>
        <w:gridCol w:w="709"/>
        <w:gridCol w:w="709"/>
        <w:gridCol w:w="729"/>
        <w:gridCol w:w="709"/>
        <w:gridCol w:w="709"/>
        <w:gridCol w:w="709"/>
        <w:gridCol w:w="709"/>
        <w:gridCol w:w="709"/>
        <w:gridCol w:w="21"/>
      </w:tblGrid>
      <w:tr w:rsidR="008C30B4" w:rsidRPr="00686018" w:rsidTr="00B245B9">
        <w:trPr>
          <w:trHeight w:val="297"/>
          <w:jc w:val="center"/>
        </w:trPr>
        <w:tc>
          <w:tcPr>
            <w:tcW w:w="709" w:type="dxa"/>
            <w:vMerge w:val="restart"/>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Día</w:t>
            </w:r>
          </w:p>
        </w:tc>
        <w:tc>
          <w:tcPr>
            <w:tcW w:w="3565" w:type="dxa"/>
            <w:gridSpan w:val="5"/>
            <w:tcBorders>
              <w:top w:val="single" w:sz="4" w:space="0" w:color="auto"/>
              <w:right w:val="single" w:sz="4" w:space="0" w:color="auto"/>
            </w:tcBorders>
            <w:shd w:val="clear" w:color="auto" w:fill="auto"/>
            <w:noWrap/>
            <w:vAlign w:val="center"/>
            <w:hideMark/>
          </w:tcPr>
          <w:p w:rsidR="008C30B4"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8C30B4" w:rsidRPr="00686018">
              <w:rPr>
                <w:rFonts w:ascii="Times New Roman" w:eastAsia="Times New Roman" w:hAnsi="Times New Roman" w:cs="Times New Roman"/>
                <w:b/>
                <w:bCs/>
                <w:color w:val="000000"/>
                <w:sz w:val="18"/>
                <w:szCs w:val="18"/>
                <w:lang w:eastAsia="es-EC"/>
              </w:rPr>
              <w:t xml:space="preserve"> de Biogás/g-SV</w:t>
            </w:r>
          </w:p>
        </w:tc>
        <w:tc>
          <w:tcPr>
            <w:tcW w:w="3566" w:type="dxa"/>
            <w:gridSpan w:val="6"/>
            <w:tcBorders>
              <w:top w:val="single" w:sz="4" w:space="0" w:color="auto"/>
              <w:left w:val="single" w:sz="4" w:space="0" w:color="auto"/>
            </w:tcBorders>
            <w:shd w:val="clear" w:color="auto" w:fill="auto"/>
            <w:noWrap/>
            <w:vAlign w:val="center"/>
            <w:hideMark/>
          </w:tcPr>
          <w:p w:rsidR="008C30B4"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8C30B4" w:rsidRPr="00686018">
              <w:rPr>
                <w:rFonts w:ascii="Times New Roman" w:eastAsia="Times New Roman" w:hAnsi="Times New Roman" w:cs="Times New Roman"/>
                <w:b/>
                <w:bCs/>
                <w:color w:val="000000"/>
                <w:sz w:val="18"/>
                <w:szCs w:val="18"/>
                <w:lang w:eastAsia="es-EC"/>
              </w:rPr>
              <w:t xml:space="preserve"> de Metano/g-SV</w:t>
            </w:r>
          </w:p>
        </w:tc>
      </w:tr>
      <w:tr w:rsidR="008C30B4" w:rsidRPr="00686018" w:rsidTr="00B245B9">
        <w:trPr>
          <w:gridAfter w:val="1"/>
          <w:wAfter w:w="23" w:type="dxa"/>
          <w:trHeight w:val="297"/>
          <w:jc w:val="center"/>
        </w:trPr>
        <w:tc>
          <w:tcPr>
            <w:tcW w:w="709" w:type="dxa"/>
            <w:vMerge/>
            <w:tcBorders>
              <w:bottom w:val="single" w:sz="4" w:space="0" w:color="auto"/>
            </w:tcBorders>
            <w:shd w:val="clear" w:color="auto" w:fill="auto"/>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p>
        </w:tc>
        <w:tc>
          <w:tcPr>
            <w:tcW w:w="709"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09"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09"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09"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 3</w:t>
            </w:r>
            <w:r w:rsidRPr="00686018">
              <w:rPr>
                <w:rFonts w:ascii="Times New Roman" w:eastAsia="Times New Roman" w:hAnsi="Times New Roman" w:cs="Times New Roman"/>
                <w:b/>
                <w:bCs/>
                <w:color w:val="FF0000"/>
                <w:sz w:val="18"/>
                <w:szCs w:val="18"/>
                <w:lang w:eastAsia="es-EC"/>
              </w:rPr>
              <w:t>:1</w:t>
            </w:r>
          </w:p>
        </w:tc>
        <w:tc>
          <w:tcPr>
            <w:tcW w:w="727" w:type="dxa"/>
            <w:tcBorders>
              <w:top w:val="single" w:sz="4" w:space="0" w:color="auto"/>
              <w:bottom w:val="single" w:sz="4" w:space="0" w:color="auto"/>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c>
          <w:tcPr>
            <w:tcW w:w="709" w:type="dxa"/>
            <w:tcBorders>
              <w:top w:val="single" w:sz="4" w:space="0" w:color="auto"/>
              <w:left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09"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09"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09"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 3</w:t>
            </w:r>
            <w:r w:rsidRPr="00686018">
              <w:rPr>
                <w:rFonts w:ascii="Times New Roman" w:eastAsia="Times New Roman" w:hAnsi="Times New Roman" w:cs="Times New Roman"/>
                <w:b/>
                <w:bCs/>
                <w:color w:val="FF0000"/>
                <w:sz w:val="18"/>
                <w:szCs w:val="18"/>
                <w:lang w:eastAsia="es-EC"/>
              </w:rPr>
              <w:t>:1</w:t>
            </w:r>
          </w:p>
        </w:tc>
        <w:tc>
          <w:tcPr>
            <w:tcW w:w="709"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r>
      <w:tr w:rsidR="008C30B4" w:rsidRPr="00686018" w:rsidTr="00B245B9">
        <w:trPr>
          <w:gridAfter w:val="1"/>
          <w:wAfter w:w="23" w:type="dxa"/>
          <w:trHeight w:val="297"/>
          <w:jc w:val="center"/>
        </w:trPr>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p>
        </w:tc>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21,004</w:t>
            </w:r>
          </w:p>
        </w:tc>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22,628</w:t>
            </w:r>
          </w:p>
        </w:tc>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15,179</w:t>
            </w:r>
          </w:p>
        </w:tc>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22,606</w:t>
            </w:r>
          </w:p>
        </w:tc>
        <w:tc>
          <w:tcPr>
            <w:tcW w:w="727" w:type="dxa"/>
            <w:tcBorders>
              <w:top w:val="single" w:sz="4" w:space="0" w:color="auto"/>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22,433</w:t>
            </w:r>
          </w:p>
        </w:tc>
        <w:tc>
          <w:tcPr>
            <w:tcW w:w="709" w:type="dxa"/>
            <w:tcBorders>
              <w:top w:val="single" w:sz="4" w:space="0" w:color="auto"/>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7,567</w:t>
            </w:r>
          </w:p>
        </w:tc>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9,608</w:t>
            </w:r>
          </w:p>
        </w:tc>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9,654</w:t>
            </w:r>
          </w:p>
        </w:tc>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12,345</w:t>
            </w:r>
          </w:p>
        </w:tc>
        <w:tc>
          <w:tcPr>
            <w:tcW w:w="709"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13,100</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22,519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22,693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23,342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23,667</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23,645</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15,320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16,386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20,314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21,915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23,505</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36,854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33,541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16,955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36,161</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36,421</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20,526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19,313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10,541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24,499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26,170</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33,433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43,805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18,102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15,742</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15,894</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20,211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27,265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12,191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12,024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13,112</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34,754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34,342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26,157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21,891</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11,325</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19,965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20,494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17,262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15,849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9,233</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31,939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24,620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26,525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30,380</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10,372</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19,680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14,891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17,262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20,660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8,165</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14,681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8,900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10,545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15,266</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2,967</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8,962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5,842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7,311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10,738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2,363</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21,458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13,598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17,474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15,309</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14,270</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12,180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8,221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10,961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10,198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10,348</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15,222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8,986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16,283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13,815</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13,988</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8,919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5,527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10,351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9,058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10,243</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13,317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12,537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15,244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10,177</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14,811</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7,924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7,893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9,562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6,708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10,647</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10,610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9,831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13,923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7,470</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13,988</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6,528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6,065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8,481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4,743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10,523</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10,718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11,628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14,464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8,293</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15,266</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6,438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7,105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8,770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5,387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9,459</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11,260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14,183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13,209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12,364</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14,161</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6,793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8,851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8,272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7,850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9,292</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8,856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12,689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12,386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12,083</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13,317</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5,452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7,857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7,689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7,874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8,625</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8,185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10,870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10,567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11,823</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9,073</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4,860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6,221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6,031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7,744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3,641</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8,423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10,588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10,025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14,551</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12,386</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5,251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6,560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6,195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8,656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7,716</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9,809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10,848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9,766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11,281</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11,455</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5,849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6,557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6,082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6,987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6,993</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7,535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9,094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8,272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10,653</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8,748</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4,865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5,597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5,092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6,711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5,730</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8,466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8,964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7,665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9,809</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7,968</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5,213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5,612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4,710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5,881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4,969</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7,925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8,250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7,470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9,549</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7,882</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4,806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4,808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4,438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5,652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4,669</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7,427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6,907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5,933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7,882</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6,907</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4,684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4,499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3,801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5,659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2,448</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9,159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5,933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6,626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9,831</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6,864</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5,113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3,299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3,769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5,279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3,984</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8,163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6,150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5,197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8,423</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5,457</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5,047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4,096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3,396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5,286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3,562</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7,709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5,305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5,522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7,254</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4,959</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4,483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3,187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3,184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4,459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2,595</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7,362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5,197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5,067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6,669</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4,071</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4,103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2,978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2,825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4,186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1,891</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7,947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5,305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6,106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6,539</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5,132</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4,378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3,215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3,356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3,678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2,626</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7,254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3,616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4,222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4,764</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2,988</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4,407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1,926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3,068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3,194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1,765</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6,929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3,811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4,331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3,447</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3,638</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3,901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1,987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2,822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2,000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2,236</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6,972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3,746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3,638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5,781</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3,075</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4,058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2,242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2,348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3,946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1,838</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5,435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3,833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5,262</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3,724</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2,823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1,836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2,831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1,361</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6,128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4,374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5,024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4,894</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4,699</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3,451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2,337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3,151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2,407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2,210</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7,167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3,724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6,193</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3,919</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3,845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1,956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1,913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2,773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2,033</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6,518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3,833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5,262</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3,941</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3,392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1,836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2,831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1,464</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5,435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3,833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5,262</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3,724</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2,823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1,836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2,831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1,361</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5,089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4,915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4,526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6,864</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5,543</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2,753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2,733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2,265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3,243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3,119</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4,634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3,724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3,161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4,850</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4,287</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2,636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1,223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1,580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2,120</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3,876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2,404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2,772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4,179</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3,529</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1,893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0,822</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1,499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2,246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1,755</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3,681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3,161</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2,793</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4,157</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3,075</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1,706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0,394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1,600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1,333</w:t>
            </w:r>
          </w:p>
        </w:tc>
      </w:tr>
      <w:tr w:rsidR="008C30B4" w:rsidRPr="00686018" w:rsidTr="00B245B9">
        <w:trPr>
          <w:gridAfter w:val="1"/>
          <w:wAfter w:w="23" w:type="dxa"/>
          <w:trHeight w:val="297"/>
          <w:jc w:val="center"/>
        </w:trPr>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3,724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2,945</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2,598</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3,724</w:t>
            </w:r>
          </w:p>
        </w:tc>
        <w:tc>
          <w:tcPr>
            <w:tcW w:w="727"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2,793</w:t>
            </w:r>
          </w:p>
        </w:tc>
        <w:tc>
          <w:tcPr>
            <w:tcW w:w="709"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0,464</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0,086</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0,130</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0,369</w:t>
            </w:r>
          </w:p>
        </w:tc>
        <w:tc>
          <w:tcPr>
            <w:tcW w:w="709"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0,986</w:t>
            </w:r>
          </w:p>
        </w:tc>
      </w:tr>
      <w:tr w:rsidR="008C30B4" w:rsidRPr="00686018" w:rsidTr="00B245B9">
        <w:trPr>
          <w:gridAfter w:val="1"/>
          <w:wAfter w:w="23" w:type="dxa"/>
          <w:trHeight w:val="297"/>
          <w:jc w:val="center"/>
        </w:trPr>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w:t>
            </w:r>
          </w:p>
        </w:tc>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3,313</w:t>
            </w:r>
          </w:p>
        </w:tc>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2,447</w:t>
            </w:r>
          </w:p>
        </w:tc>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2,295</w:t>
            </w:r>
          </w:p>
        </w:tc>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3,659</w:t>
            </w:r>
          </w:p>
        </w:tc>
        <w:tc>
          <w:tcPr>
            <w:tcW w:w="727" w:type="dxa"/>
            <w:tcBorders>
              <w:bottom w:val="single" w:sz="4" w:space="0" w:color="auto"/>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2,642</w:t>
            </w:r>
          </w:p>
        </w:tc>
        <w:tc>
          <w:tcPr>
            <w:tcW w:w="709" w:type="dxa"/>
            <w:tcBorders>
              <w:left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1,151</w:t>
            </w:r>
          </w:p>
        </w:tc>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0,046</w:t>
            </w:r>
          </w:p>
        </w:tc>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0,027</w:t>
            </w:r>
          </w:p>
        </w:tc>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0,096</w:t>
            </w:r>
          </w:p>
        </w:tc>
        <w:tc>
          <w:tcPr>
            <w:tcW w:w="709"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0,056</w:t>
            </w:r>
          </w:p>
        </w:tc>
      </w:tr>
    </w:tbl>
    <w:p w:rsidR="008C30B4" w:rsidRPr="00686018" w:rsidRDefault="008C30B4" w:rsidP="00A31608">
      <w:pPr>
        <w:jc w:val="both"/>
        <w:rPr>
          <w:rFonts w:ascii="Times New Roman" w:hAnsi="Times New Roman" w:cs="Times New Roman"/>
        </w:rPr>
      </w:pPr>
    </w:p>
    <w:p w:rsidR="00416C9D" w:rsidRPr="00416C9D" w:rsidRDefault="00416C9D" w:rsidP="00416C9D">
      <w:pPr>
        <w:spacing w:before="360" w:after="360"/>
        <w:rPr>
          <w:rFonts w:ascii="Times New Roman" w:hAnsi="Times New Roman" w:cs="Times New Roman"/>
          <w:b/>
          <w:sz w:val="24"/>
          <w:szCs w:val="24"/>
        </w:rPr>
      </w:pPr>
      <w:r w:rsidRPr="00416C9D">
        <w:rPr>
          <w:rFonts w:ascii="Times New Roman" w:hAnsi="Times New Roman" w:cs="Times New Roman"/>
          <w:b/>
          <w:sz w:val="24"/>
          <w:szCs w:val="24"/>
        </w:rPr>
        <w:lastRenderedPageBreak/>
        <w:t xml:space="preserve">Experimento </w:t>
      </w:r>
      <w:r>
        <w:rPr>
          <w:rFonts w:ascii="Times New Roman" w:hAnsi="Times New Roman" w:cs="Times New Roman"/>
          <w:b/>
          <w:sz w:val="24"/>
          <w:szCs w:val="24"/>
        </w:rPr>
        <w:t>I:S – 1:2</w:t>
      </w:r>
    </w:p>
    <w:tbl>
      <w:tblPr>
        <w:tblW w:w="7860" w:type="dxa"/>
        <w:jc w:val="center"/>
        <w:tblCellMar>
          <w:left w:w="70" w:type="dxa"/>
          <w:right w:w="70" w:type="dxa"/>
        </w:tblCellMar>
        <w:tblLook w:val="04A0" w:firstRow="1" w:lastRow="0" w:firstColumn="1" w:lastColumn="0" w:noHBand="0" w:noVBand="1"/>
      </w:tblPr>
      <w:tblGrid>
        <w:gridCol w:w="712"/>
        <w:gridCol w:w="712"/>
        <w:gridCol w:w="712"/>
        <w:gridCol w:w="712"/>
        <w:gridCol w:w="712"/>
        <w:gridCol w:w="725"/>
        <w:gridCol w:w="712"/>
        <w:gridCol w:w="712"/>
        <w:gridCol w:w="712"/>
        <w:gridCol w:w="712"/>
        <w:gridCol w:w="712"/>
        <w:gridCol w:w="15"/>
      </w:tblGrid>
      <w:tr w:rsidR="008C30B4" w:rsidRPr="00686018" w:rsidTr="00B245B9">
        <w:trPr>
          <w:trHeight w:val="297"/>
          <w:jc w:val="center"/>
        </w:trPr>
        <w:tc>
          <w:tcPr>
            <w:tcW w:w="712" w:type="dxa"/>
            <w:vMerge w:val="restart"/>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Día</w:t>
            </w:r>
          </w:p>
        </w:tc>
        <w:tc>
          <w:tcPr>
            <w:tcW w:w="3573" w:type="dxa"/>
            <w:gridSpan w:val="5"/>
            <w:tcBorders>
              <w:top w:val="single" w:sz="4" w:space="0" w:color="auto"/>
              <w:right w:val="single" w:sz="4" w:space="0" w:color="auto"/>
            </w:tcBorders>
            <w:shd w:val="clear" w:color="auto" w:fill="auto"/>
            <w:noWrap/>
            <w:vAlign w:val="center"/>
            <w:hideMark/>
          </w:tcPr>
          <w:p w:rsidR="008C30B4"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8C30B4" w:rsidRPr="00686018">
              <w:rPr>
                <w:rFonts w:ascii="Times New Roman" w:eastAsia="Times New Roman" w:hAnsi="Times New Roman" w:cs="Times New Roman"/>
                <w:b/>
                <w:bCs/>
                <w:color w:val="000000"/>
                <w:sz w:val="18"/>
                <w:szCs w:val="18"/>
                <w:lang w:eastAsia="es-EC"/>
              </w:rPr>
              <w:t xml:space="preserve"> de Biogás/g-SV</w:t>
            </w:r>
          </w:p>
        </w:tc>
        <w:tc>
          <w:tcPr>
            <w:tcW w:w="3575" w:type="dxa"/>
            <w:gridSpan w:val="6"/>
            <w:tcBorders>
              <w:top w:val="single" w:sz="4" w:space="0" w:color="auto"/>
              <w:left w:val="single" w:sz="4" w:space="0" w:color="auto"/>
            </w:tcBorders>
            <w:shd w:val="clear" w:color="auto" w:fill="auto"/>
            <w:noWrap/>
            <w:vAlign w:val="center"/>
            <w:hideMark/>
          </w:tcPr>
          <w:p w:rsidR="008C30B4"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8C30B4" w:rsidRPr="00686018">
              <w:rPr>
                <w:rFonts w:ascii="Times New Roman" w:eastAsia="Times New Roman" w:hAnsi="Times New Roman" w:cs="Times New Roman"/>
                <w:b/>
                <w:bCs/>
                <w:color w:val="000000"/>
                <w:sz w:val="18"/>
                <w:szCs w:val="18"/>
                <w:lang w:eastAsia="es-EC"/>
              </w:rPr>
              <w:t xml:space="preserve"> de Metano/g-SV</w:t>
            </w:r>
          </w:p>
        </w:tc>
      </w:tr>
      <w:tr w:rsidR="00711FF6" w:rsidRPr="00686018" w:rsidTr="00B245B9">
        <w:trPr>
          <w:gridAfter w:val="1"/>
          <w:wAfter w:w="16" w:type="dxa"/>
          <w:trHeight w:val="297"/>
          <w:jc w:val="center"/>
        </w:trPr>
        <w:tc>
          <w:tcPr>
            <w:tcW w:w="712" w:type="dxa"/>
            <w:vMerge/>
            <w:tcBorders>
              <w:bottom w:val="single" w:sz="4" w:space="0" w:color="auto"/>
            </w:tcBorders>
            <w:shd w:val="clear" w:color="auto" w:fill="auto"/>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p>
        </w:tc>
        <w:tc>
          <w:tcPr>
            <w:tcW w:w="712"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12"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12"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12"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 3</w:t>
            </w:r>
            <w:r w:rsidRPr="00686018">
              <w:rPr>
                <w:rFonts w:ascii="Times New Roman" w:eastAsia="Times New Roman" w:hAnsi="Times New Roman" w:cs="Times New Roman"/>
                <w:b/>
                <w:bCs/>
                <w:color w:val="FF0000"/>
                <w:sz w:val="18"/>
                <w:szCs w:val="18"/>
                <w:lang w:eastAsia="es-EC"/>
              </w:rPr>
              <w:t>:1</w:t>
            </w:r>
          </w:p>
        </w:tc>
        <w:tc>
          <w:tcPr>
            <w:tcW w:w="724" w:type="dxa"/>
            <w:tcBorders>
              <w:top w:val="single" w:sz="4" w:space="0" w:color="auto"/>
              <w:bottom w:val="single" w:sz="4" w:space="0" w:color="auto"/>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c>
          <w:tcPr>
            <w:tcW w:w="712" w:type="dxa"/>
            <w:tcBorders>
              <w:top w:val="single" w:sz="4" w:space="0" w:color="auto"/>
              <w:left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12"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12"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12"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 3</w:t>
            </w:r>
            <w:r w:rsidRPr="00686018">
              <w:rPr>
                <w:rFonts w:ascii="Times New Roman" w:eastAsia="Times New Roman" w:hAnsi="Times New Roman" w:cs="Times New Roman"/>
                <w:b/>
                <w:bCs/>
                <w:color w:val="FF0000"/>
                <w:sz w:val="18"/>
                <w:szCs w:val="18"/>
                <w:lang w:eastAsia="es-EC"/>
              </w:rPr>
              <w:t>:1</w:t>
            </w:r>
          </w:p>
        </w:tc>
        <w:tc>
          <w:tcPr>
            <w:tcW w:w="712" w:type="dxa"/>
            <w:tcBorders>
              <w:top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r>
      <w:tr w:rsidR="00711FF6" w:rsidRPr="00686018" w:rsidTr="00B245B9">
        <w:trPr>
          <w:gridAfter w:val="1"/>
          <w:wAfter w:w="16" w:type="dxa"/>
          <w:trHeight w:val="297"/>
          <w:jc w:val="center"/>
        </w:trPr>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p>
        </w:tc>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21,843</w:t>
            </w:r>
          </w:p>
        </w:tc>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21,973</w:t>
            </w:r>
          </w:p>
        </w:tc>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21,940</w:t>
            </w:r>
          </w:p>
        </w:tc>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21,810</w:t>
            </w:r>
          </w:p>
        </w:tc>
        <w:tc>
          <w:tcPr>
            <w:tcW w:w="724" w:type="dxa"/>
            <w:tcBorders>
              <w:top w:val="single" w:sz="4" w:space="0" w:color="auto"/>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19,163</w:t>
            </w:r>
          </w:p>
        </w:tc>
        <w:tc>
          <w:tcPr>
            <w:tcW w:w="712" w:type="dxa"/>
            <w:tcBorders>
              <w:top w:val="single" w:sz="4" w:space="0" w:color="auto"/>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4,243</w:t>
            </w:r>
          </w:p>
        </w:tc>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7,929</w:t>
            </w:r>
          </w:p>
        </w:tc>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6,958</w:t>
            </w:r>
          </w:p>
        </w:tc>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5,675</w:t>
            </w:r>
          </w:p>
        </w:tc>
        <w:tc>
          <w:tcPr>
            <w:tcW w:w="712" w:type="dxa"/>
            <w:tcBorders>
              <w:top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7,390</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25,432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25,351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37,319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35,289</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18,773</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12,165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12,295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20,547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20,547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6,176</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22,590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35,533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30,174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30,661</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26,260</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9,748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19,499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17,031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20,611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22,733</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14,811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27,640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22,492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24,311</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24,945</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6,108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14,677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13,082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16,163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18,904</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16,386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19,764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24,263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24,490</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26,146</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6,234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10,214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15,069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16,769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20,645</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11,124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16,419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24,652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24,441</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25,675</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4,825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8,912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15,679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16,723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19,509</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12,489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18,384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17,961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27,397</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15,363</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5,838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11,062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11,034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16,755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9,555</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7,763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13,414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19,277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15,396</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22,525</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4,111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8,077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13,219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10,661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17,205</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7,584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18,124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14,080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26,309</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13,918</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3,753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10,905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9,264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17,828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9,820</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11,141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17,929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17,312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26,585</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14,648</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5,609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11,275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11,135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16,757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9,887</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8,964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14,908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16,711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26,065</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21,615</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5,220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9,386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10,734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14,804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13,898</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12,164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16,857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14,437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24,457</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9,565</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6,897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10,533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9,073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13,887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6,099</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13,528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14,519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14,730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22,736</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8,006</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8,102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9,392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9,083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13,072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5,240</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13,609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11,758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14,178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18,936</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6,723</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8,357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7,683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8,621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10,854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4,127</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12,131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8,152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12,148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15,883</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5,603</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7,426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5,229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6,624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8,755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3,490</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10,735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9,858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20,625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13,349</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4,222</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6,747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5,495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12,105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7,450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2,581</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8,916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11,400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12,148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11,823</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5,083</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5,418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7,017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6,695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6,552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2,948</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8,542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11,693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10,426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8,591</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7,893</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5,162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7,589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5,789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4,724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3,992</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6,187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7,941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9,062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11,482</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5,034</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4,336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5,049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5,533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6,451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2,983</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6,025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8,542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10,832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7,243</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6,983</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4,046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5,524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6,234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4,212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3,742</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5,879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8,558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9,841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6,431</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11,530</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3,624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5,003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5,496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3,359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6,668</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5,051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7,405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8,201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6,252</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4,872</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3,439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4,536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4,582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3,738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1,932</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3,849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6,740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4,222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6,756</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3,427</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2,585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4,018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3,758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2,019</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7,763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5,619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6,642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5,928</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3,183</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4,998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2,985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3,530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3,242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1,717</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5,700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5,099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5,798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6,610</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3,216</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3,664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2,954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3,234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3,668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1,814</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7,048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4,807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7,211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6,805</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3,784</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4,675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2,836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4,013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4,040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2,187</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5,798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5,002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4,336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5,489</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6,545</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3,584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3,171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2,493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3,155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3,868</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5,993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5,522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4,044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3,751</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6,220</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3,311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3,155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2,177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1,913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3,472</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3,865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3,459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3,573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5,034</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5,570</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2,581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2,302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3,037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3,194</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4,531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4,271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3,443</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4,271</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1,616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2,739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2,372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1,561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2,372</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2,939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3,329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5,181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3,654</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3,995</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1,915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1,772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1,720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2,123</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2,241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2,988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4,661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3,492</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4,585</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0,880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1,289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2,363</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4,076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3,492</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4,271</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1,613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0,974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1,229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1,020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2,031</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4,076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3,183</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4,271</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1,441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0,974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0,766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1,084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2,031</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2,826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3,183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3,475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4,174</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3,670</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1,683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1,834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1,743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1,708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2,045</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2,533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2,972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3,410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3,151</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3,394</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1,191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0,854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1,535</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2,533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2,874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2,956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2,745</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3,297</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0,642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0,396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0,983</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1,010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1,089</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2,355</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2,306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2,209</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2,761</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0,292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0,394</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0,289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0,306</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0,437</w:t>
            </w:r>
          </w:p>
        </w:tc>
      </w:tr>
      <w:tr w:rsidR="00711FF6" w:rsidRPr="00686018" w:rsidTr="00B245B9">
        <w:trPr>
          <w:gridAfter w:val="1"/>
          <w:wAfter w:w="16" w:type="dxa"/>
          <w:trHeight w:val="297"/>
          <w:jc w:val="center"/>
        </w:trPr>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2,241</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2,420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2,322</w:t>
            </w:r>
          </w:p>
        </w:tc>
        <w:tc>
          <w:tcPr>
            <w:tcW w:w="724" w:type="dxa"/>
            <w:tcBorders>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3,004</w:t>
            </w:r>
          </w:p>
        </w:tc>
        <w:tc>
          <w:tcPr>
            <w:tcW w:w="712" w:type="dxa"/>
            <w:tcBorders>
              <w:lef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0,108</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0,130</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0,052</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0,069</w:t>
            </w:r>
          </w:p>
        </w:tc>
        <w:tc>
          <w:tcPr>
            <w:tcW w:w="712" w:type="dxa"/>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0,203</w:t>
            </w:r>
          </w:p>
        </w:tc>
      </w:tr>
      <w:tr w:rsidR="00711FF6" w:rsidRPr="00686018" w:rsidTr="00B245B9">
        <w:trPr>
          <w:gridAfter w:val="1"/>
          <w:wAfter w:w="16" w:type="dxa"/>
          <w:trHeight w:val="297"/>
          <w:jc w:val="center"/>
        </w:trPr>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w:t>
            </w:r>
          </w:p>
        </w:tc>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2,095</w:t>
            </w:r>
          </w:p>
        </w:tc>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1,981</w:t>
            </w:r>
          </w:p>
        </w:tc>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2,144</w:t>
            </w:r>
          </w:p>
        </w:tc>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1,965</w:t>
            </w:r>
          </w:p>
        </w:tc>
        <w:tc>
          <w:tcPr>
            <w:tcW w:w="724" w:type="dxa"/>
            <w:tcBorders>
              <w:bottom w:val="single" w:sz="4" w:space="0" w:color="auto"/>
              <w:right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2,939</w:t>
            </w:r>
          </w:p>
        </w:tc>
        <w:tc>
          <w:tcPr>
            <w:tcW w:w="712" w:type="dxa"/>
            <w:tcBorders>
              <w:left w:val="single" w:sz="4" w:space="0" w:color="auto"/>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0,208</w:t>
            </w:r>
          </w:p>
        </w:tc>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0,102</w:t>
            </w:r>
          </w:p>
        </w:tc>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0,073</w:t>
            </w:r>
          </w:p>
        </w:tc>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0,046</w:t>
            </w:r>
          </w:p>
        </w:tc>
        <w:tc>
          <w:tcPr>
            <w:tcW w:w="712" w:type="dxa"/>
            <w:tcBorders>
              <w:bottom w:val="single" w:sz="4" w:space="0" w:color="auto"/>
            </w:tcBorders>
            <w:shd w:val="clear" w:color="auto" w:fill="auto"/>
            <w:noWrap/>
            <w:vAlign w:val="center"/>
            <w:hideMark/>
          </w:tcPr>
          <w:p w:rsidR="008C30B4" w:rsidRPr="00686018" w:rsidRDefault="008C30B4"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0,158</w:t>
            </w:r>
          </w:p>
        </w:tc>
      </w:tr>
    </w:tbl>
    <w:p w:rsidR="00171726" w:rsidRDefault="00171726" w:rsidP="00171726">
      <w:pPr>
        <w:pStyle w:val="Descripcin"/>
      </w:pPr>
    </w:p>
    <w:p w:rsidR="00171726" w:rsidRPr="00171726" w:rsidRDefault="00171726" w:rsidP="00171726">
      <w:pPr>
        <w:pStyle w:val="Descripcin"/>
        <w:rPr>
          <w:rFonts w:ascii="Times New Roman" w:hAnsi="Times New Roman" w:cs="Times New Roman"/>
          <w:b/>
          <w:i w:val="0"/>
          <w:color w:val="auto"/>
          <w:sz w:val="24"/>
          <w:szCs w:val="24"/>
        </w:rPr>
      </w:pPr>
      <w:bookmarkStart w:id="309" w:name="_Toc9537934"/>
      <w:r w:rsidRPr="00171726">
        <w:rPr>
          <w:rFonts w:ascii="Times New Roman" w:hAnsi="Times New Roman" w:cs="Times New Roman"/>
          <w:b/>
          <w:i w:val="0"/>
          <w:color w:val="auto"/>
          <w:sz w:val="24"/>
          <w:szCs w:val="24"/>
        </w:rPr>
        <w:lastRenderedPageBreak/>
        <w:t xml:space="preserve">ANEXO </w:t>
      </w:r>
      <w:r w:rsidRPr="00171726">
        <w:rPr>
          <w:rFonts w:ascii="Times New Roman" w:hAnsi="Times New Roman" w:cs="Times New Roman"/>
          <w:b/>
          <w:i w:val="0"/>
          <w:color w:val="auto"/>
          <w:sz w:val="24"/>
          <w:szCs w:val="24"/>
        </w:rPr>
        <w:fldChar w:fldCharType="begin"/>
      </w:r>
      <w:r w:rsidRPr="00171726">
        <w:rPr>
          <w:rFonts w:ascii="Times New Roman" w:hAnsi="Times New Roman" w:cs="Times New Roman"/>
          <w:b/>
          <w:i w:val="0"/>
          <w:color w:val="auto"/>
          <w:sz w:val="24"/>
          <w:szCs w:val="24"/>
        </w:rPr>
        <w:instrText xml:space="preserve"> SEQ ANEXO \* ARABIC </w:instrText>
      </w:r>
      <w:r w:rsidRPr="00171726">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6</w:t>
      </w:r>
      <w:r w:rsidRPr="00171726">
        <w:rPr>
          <w:rFonts w:ascii="Times New Roman" w:hAnsi="Times New Roman" w:cs="Times New Roman"/>
          <w:b/>
          <w:i w:val="0"/>
          <w:color w:val="auto"/>
          <w:sz w:val="24"/>
          <w:szCs w:val="24"/>
        </w:rPr>
        <w:fldChar w:fldCharType="end"/>
      </w:r>
      <w:r w:rsidRPr="00171726">
        <w:rPr>
          <w:rFonts w:ascii="Times New Roman" w:hAnsi="Times New Roman" w:cs="Times New Roman"/>
          <w:b/>
          <w:i w:val="0"/>
          <w:color w:val="auto"/>
          <w:sz w:val="24"/>
          <w:szCs w:val="24"/>
        </w:rPr>
        <w:t xml:space="preserve">. </w:t>
      </w:r>
      <w:r w:rsidRPr="00171726">
        <w:rPr>
          <w:rFonts w:ascii="Times New Roman" w:hAnsi="Times New Roman" w:cs="Times New Roman"/>
          <w:i w:val="0"/>
          <w:color w:val="auto"/>
          <w:sz w:val="24"/>
          <w:szCs w:val="24"/>
        </w:rPr>
        <w:t>Concentración de biogás y metano acumulado a los 40 días de digestión.</w:t>
      </w:r>
      <w:bookmarkEnd w:id="309"/>
    </w:p>
    <w:p w:rsidR="00416C9D" w:rsidRPr="00416C9D" w:rsidRDefault="00416C9D" w:rsidP="00416C9D">
      <w:pPr>
        <w:spacing w:before="360" w:after="360"/>
        <w:rPr>
          <w:rFonts w:ascii="Times New Roman" w:hAnsi="Times New Roman" w:cs="Times New Roman"/>
          <w:b/>
          <w:sz w:val="24"/>
          <w:szCs w:val="24"/>
        </w:rPr>
      </w:pPr>
      <w:r w:rsidRPr="00416C9D">
        <w:rPr>
          <w:rFonts w:ascii="Times New Roman" w:hAnsi="Times New Roman" w:cs="Times New Roman"/>
          <w:b/>
          <w:sz w:val="24"/>
          <w:szCs w:val="24"/>
        </w:rPr>
        <w:t xml:space="preserve">Experimento </w:t>
      </w:r>
      <w:r>
        <w:rPr>
          <w:rFonts w:ascii="Times New Roman" w:hAnsi="Times New Roman" w:cs="Times New Roman"/>
          <w:b/>
          <w:sz w:val="24"/>
          <w:szCs w:val="24"/>
        </w:rPr>
        <w:t>I:S</w:t>
      </w:r>
      <w:r w:rsidRPr="00416C9D">
        <w:rPr>
          <w:rFonts w:ascii="Times New Roman" w:hAnsi="Times New Roman" w:cs="Times New Roman"/>
          <w:b/>
          <w:sz w:val="24"/>
          <w:szCs w:val="24"/>
        </w:rPr>
        <w:t xml:space="preserve"> – 2:1</w:t>
      </w:r>
    </w:p>
    <w:tbl>
      <w:tblPr>
        <w:tblW w:w="8103" w:type="dxa"/>
        <w:jc w:val="center"/>
        <w:tblCellMar>
          <w:left w:w="70" w:type="dxa"/>
          <w:right w:w="70" w:type="dxa"/>
        </w:tblCellMar>
        <w:tblLook w:val="04A0" w:firstRow="1" w:lastRow="0" w:firstColumn="1" w:lastColumn="0" w:noHBand="0" w:noVBand="1"/>
      </w:tblPr>
      <w:tblGrid>
        <w:gridCol w:w="486"/>
        <w:gridCol w:w="863"/>
        <w:gridCol w:w="739"/>
        <w:gridCol w:w="740"/>
        <w:gridCol w:w="739"/>
        <w:gridCol w:w="750"/>
        <w:gridCol w:w="739"/>
        <w:gridCol w:w="740"/>
        <w:gridCol w:w="725"/>
        <w:gridCol w:w="842"/>
        <w:gridCol w:w="740"/>
      </w:tblGrid>
      <w:tr w:rsidR="007C6631" w:rsidRPr="00686018" w:rsidTr="00B245B9">
        <w:trPr>
          <w:trHeight w:val="280"/>
          <w:jc w:val="center"/>
        </w:trPr>
        <w:tc>
          <w:tcPr>
            <w:tcW w:w="486" w:type="dxa"/>
            <w:vMerge w:val="restart"/>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Día</w:t>
            </w:r>
          </w:p>
        </w:tc>
        <w:tc>
          <w:tcPr>
            <w:tcW w:w="3831" w:type="dxa"/>
            <w:gridSpan w:val="5"/>
            <w:tcBorders>
              <w:top w:val="single" w:sz="4" w:space="0" w:color="auto"/>
              <w:bottom w:val="single" w:sz="4" w:space="0" w:color="auto"/>
              <w:right w:val="single" w:sz="4" w:space="0" w:color="auto"/>
            </w:tcBorders>
            <w:shd w:val="clear" w:color="auto" w:fill="auto"/>
            <w:noWrap/>
            <w:vAlign w:val="center"/>
            <w:hideMark/>
          </w:tcPr>
          <w:p w:rsidR="007C6631"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7C6631" w:rsidRPr="00686018">
              <w:rPr>
                <w:rFonts w:ascii="Times New Roman" w:eastAsia="Times New Roman" w:hAnsi="Times New Roman" w:cs="Times New Roman"/>
                <w:b/>
                <w:bCs/>
                <w:color w:val="000000"/>
                <w:sz w:val="18"/>
                <w:szCs w:val="18"/>
                <w:lang w:eastAsia="es-EC"/>
              </w:rPr>
              <w:t xml:space="preserve"> de Biogás/g-SV</w:t>
            </w:r>
          </w:p>
        </w:tc>
        <w:tc>
          <w:tcPr>
            <w:tcW w:w="3786" w:type="dxa"/>
            <w:gridSpan w:val="5"/>
            <w:tcBorders>
              <w:top w:val="single" w:sz="4" w:space="0" w:color="auto"/>
              <w:left w:val="single" w:sz="4" w:space="0" w:color="auto"/>
              <w:bottom w:val="single" w:sz="4" w:space="0" w:color="auto"/>
            </w:tcBorders>
            <w:shd w:val="clear" w:color="auto" w:fill="auto"/>
            <w:noWrap/>
            <w:vAlign w:val="center"/>
            <w:hideMark/>
          </w:tcPr>
          <w:p w:rsidR="007C6631"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7C6631" w:rsidRPr="00686018">
              <w:rPr>
                <w:rFonts w:ascii="Times New Roman" w:eastAsia="Times New Roman" w:hAnsi="Times New Roman" w:cs="Times New Roman"/>
                <w:b/>
                <w:bCs/>
                <w:color w:val="000000"/>
                <w:sz w:val="18"/>
                <w:szCs w:val="18"/>
                <w:lang w:eastAsia="es-EC"/>
              </w:rPr>
              <w:t xml:space="preserve"> de Metano/g-SV</w:t>
            </w:r>
          </w:p>
        </w:tc>
      </w:tr>
      <w:tr w:rsidR="00711FF6" w:rsidRPr="00686018" w:rsidTr="00B245B9">
        <w:trPr>
          <w:trHeight w:val="280"/>
          <w:jc w:val="center"/>
        </w:trPr>
        <w:tc>
          <w:tcPr>
            <w:tcW w:w="486" w:type="dxa"/>
            <w:vMerge/>
            <w:tcBorders>
              <w:bottom w:val="single" w:sz="4" w:space="0" w:color="auto"/>
            </w:tcBorders>
            <w:shd w:val="clear" w:color="auto" w:fill="auto"/>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p>
        </w:tc>
        <w:tc>
          <w:tcPr>
            <w:tcW w:w="863"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39"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40"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39"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 3</w:t>
            </w:r>
            <w:r w:rsidRPr="00686018">
              <w:rPr>
                <w:rFonts w:ascii="Times New Roman" w:eastAsia="Times New Roman" w:hAnsi="Times New Roman" w:cs="Times New Roman"/>
                <w:b/>
                <w:bCs/>
                <w:color w:val="FF0000"/>
                <w:sz w:val="18"/>
                <w:szCs w:val="18"/>
                <w:lang w:eastAsia="es-EC"/>
              </w:rPr>
              <w:t>:1</w:t>
            </w:r>
          </w:p>
        </w:tc>
        <w:tc>
          <w:tcPr>
            <w:tcW w:w="750" w:type="dxa"/>
            <w:tcBorders>
              <w:top w:val="single" w:sz="4" w:space="0" w:color="auto"/>
              <w:bottom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c>
          <w:tcPr>
            <w:tcW w:w="739" w:type="dxa"/>
            <w:tcBorders>
              <w:top w:val="single" w:sz="4" w:space="0" w:color="auto"/>
              <w:left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40"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25"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842"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R 3</w:t>
            </w:r>
            <w:r w:rsidRPr="00686018">
              <w:rPr>
                <w:rFonts w:ascii="Times New Roman" w:eastAsia="Times New Roman" w:hAnsi="Times New Roman" w:cs="Times New Roman"/>
                <w:b/>
                <w:bCs/>
                <w:color w:val="FF0000"/>
                <w:sz w:val="18"/>
                <w:szCs w:val="18"/>
                <w:lang w:eastAsia="es-EC"/>
              </w:rPr>
              <w:t>:1</w:t>
            </w:r>
          </w:p>
        </w:tc>
        <w:tc>
          <w:tcPr>
            <w:tcW w:w="740"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r>
      <w:tr w:rsidR="00711FF6" w:rsidRPr="00686018" w:rsidTr="00B245B9">
        <w:trPr>
          <w:trHeight w:val="280"/>
          <w:jc w:val="center"/>
        </w:trPr>
        <w:tc>
          <w:tcPr>
            <w:tcW w:w="486"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w:t>
            </w:r>
          </w:p>
        </w:tc>
        <w:tc>
          <w:tcPr>
            <w:tcW w:w="863"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27,900</w:t>
            </w:r>
          </w:p>
        </w:tc>
        <w:tc>
          <w:tcPr>
            <w:tcW w:w="739"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30,271</w:t>
            </w:r>
          </w:p>
        </w:tc>
        <w:tc>
          <w:tcPr>
            <w:tcW w:w="740"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31,116</w:t>
            </w:r>
          </w:p>
        </w:tc>
        <w:tc>
          <w:tcPr>
            <w:tcW w:w="739"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31,116</w:t>
            </w:r>
          </w:p>
        </w:tc>
        <w:tc>
          <w:tcPr>
            <w:tcW w:w="750" w:type="dxa"/>
            <w:tcBorders>
              <w:top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31,538</w:t>
            </w:r>
          </w:p>
        </w:tc>
        <w:tc>
          <w:tcPr>
            <w:tcW w:w="739" w:type="dxa"/>
            <w:tcBorders>
              <w:top w:val="single" w:sz="4" w:space="0" w:color="auto"/>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11,101</w:t>
            </w:r>
          </w:p>
        </w:tc>
        <w:tc>
          <w:tcPr>
            <w:tcW w:w="740"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15,354</w:t>
            </w:r>
          </w:p>
        </w:tc>
        <w:tc>
          <w:tcPr>
            <w:tcW w:w="725"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18,089</w:t>
            </w:r>
          </w:p>
        </w:tc>
        <w:tc>
          <w:tcPr>
            <w:tcW w:w="842"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20,312</w:t>
            </w:r>
          </w:p>
        </w:tc>
        <w:tc>
          <w:tcPr>
            <w:tcW w:w="740"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21,649</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67,331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70,644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76,003</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77,887</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81,817</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30,510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37,556</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40,010</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46,069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56,197</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103,806</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99,421</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103,741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106,469</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110,659</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52,876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56,875</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59,856</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68,135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79,831</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4</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145,315</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126,542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117,707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118,097</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121,118</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78,386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74,949</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70,705</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77,847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89,332</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5</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194,555</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171,624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148,888</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137,195</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132,453</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108,724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104,015</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92,917</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92,615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98,952</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6</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231,030</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202,383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187,312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159,801</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142,847</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131,448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123,049</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118,953</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108,938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107,516</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7</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249,576</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217,486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205,890</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169,643</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147,329</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142,269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132,660</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131,426</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116,346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110,659</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8</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276,242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243,697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232,589</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196,179</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164,673</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157,203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148,132</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147,790</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133,839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122,980</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9</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297,711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263,705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257,079</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216,414</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176,983</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169,054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159,798</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162,697</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146,818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132,135</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10</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314,536</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279,458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274,391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232,199</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194,490</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179,448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170,012</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174,139</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158,111</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144,816</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11</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328,340</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292,969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287,935</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246,068</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209,106</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187,741</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178,419</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182,583</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167,988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154,952</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12</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339,617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304,441</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299,926</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256,273</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220,091</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194,758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185,884</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190,717</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174,676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162,870</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sz w:val="18"/>
                <w:szCs w:val="18"/>
                <w:lang w:eastAsia="es-EC"/>
              </w:rPr>
            </w:pPr>
            <w:r w:rsidRPr="00686018">
              <w:rPr>
                <w:rFonts w:ascii="Times New Roman" w:eastAsia="Times New Roman" w:hAnsi="Times New Roman" w:cs="Times New Roman"/>
                <w:b/>
                <w:sz w:val="18"/>
                <w:szCs w:val="18"/>
                <w:lang w:eastAsia="es-EC"/>
              </w:rPr>
              <w:t>13</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349,718</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316,037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311,327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266,634</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230,582</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201,392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193,367</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198,379</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182,044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170,396</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14</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358,813</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326,885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321,461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275,631</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238,279</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206,875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200,147</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204,896</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187,977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176,527</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15</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369,109</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338,188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330,750</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285,993</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245,620</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213,035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207,243</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210,742</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195,130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182,159</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16</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376,092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348,874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338,967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295,217</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252,311</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217,943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214,786</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216,564</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202,120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187,169</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17</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383,497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359,949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348,452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305,968</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259,521</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221,914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220,251</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222,474</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208,626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192,007</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18</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391,163</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369,109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356,344</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312,041</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264,751</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227,068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226,345</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227,758</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213,374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194,680</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19</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397,724</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377,261</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365,049</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318,700</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271,019</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231,228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231,648</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233,340</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218,206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199,053</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20</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403,732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385,674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373,461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326,560</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276,411</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235,148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236,570</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238,460</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223,263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202,309</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21</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407,955</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392,494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380,802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332,796</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280,244</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238,095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241,452</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244,209</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227,289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205,416</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22</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412,957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399,478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389,734</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340,007</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284,693</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241,557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246,391</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250,163</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231,896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208,723</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23</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416,789</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406,038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396,912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345,886</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288,948</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242,802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250,808</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255,175</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235,384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212,066</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24</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420,687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412,112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404,837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352,382</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292,391</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245,152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254,830</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260,111</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239,204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213,994</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25</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424,195</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417,179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412,372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357,189</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294,600</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247,200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257,861</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265,436</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242,160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215,458</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26</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428,092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423,155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421,596</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363,197</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299,829</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249,175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261,900</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271,878</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245,557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218,805</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27</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430,983</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427,735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428,222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365,796</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305,870</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250,875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265,135</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276,207</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247,954</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222,832</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28</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432,282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430,269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432,315</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369,044</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310,970</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253,091</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268,597</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280,785</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251,963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227,222</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29</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434,848</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433,322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436,082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371,642</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315,322</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255,172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270,929</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283,934</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254,080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229,943</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30</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437,901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437,739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440,077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374,533</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319,707</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257,612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273,325</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286,605</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256,091</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233,112</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31</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441,929</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442,513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446,703</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379,015</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325,943</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259,543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275,152</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289,551</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258,605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236,500</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32</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445,859</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446,898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452,875</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383,660</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329,776</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261,897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276,529</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292,159</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261,229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238,622</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33</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450,374</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451,186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458,948</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388,694</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333,446</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264,608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278,919</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295,000</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263,335</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240,583</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34</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454,888</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455,473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465,022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393,729</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337,441</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267,319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281,309</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297,841</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265,440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242,719</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35</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459,013</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459,338</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471,551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398,536</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341,858</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269,861</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283,277</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300,823</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268,263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245,000</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36</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462,521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464,340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477,072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403,408</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345,106</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271,466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285,261</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303,171</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270,929</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246,900</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37</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466,549</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468,530</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481,522</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407,662</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347,769</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273,052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286,856</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305,119</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273,382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248,350</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38</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470,771</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472,557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485,517</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412,405</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350,011</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274,713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288,089</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306,037</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274,916</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249,627</w:t>
            </w:r>
          </w:p>
        </w:tc>
      </w:tr>
      <w:tr w:rsidR="00711FF6" w:rsidRPr="00686018" w:rsidTr="00B245B9">
        <w:trPr>
          <w:trHeight w:val="280"/>
          <w:jc w:val="center"/>
        </w:trPr>
        <w:tc>
          <w:tcPr>
            <w:tcW w:w="48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39</w:t>
            </w:r>
          </w:p>
        </w:tc>
        <w:tc>
          <w:tcPr>
            <w:tcW w:w="86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474,246</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476,163</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489,155</w:t>
            </w:r>
          </w:p>
        </w:tc>
        <w:tc>
          <w:tcPr>
            <w:tcW w:w="739"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417,049</w:t>
            </w:r>
          </w:p>
        </w:tc>
        <w:tc>
          <w:tcPr>
            <w:tcW w:w="750"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352,122</w:t>
            </w:r>
          </w:p>
        </w:tc>
        <w:tc>
          <w:tcPr>
            <w:tcW w:w="739"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274,837</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288,230</w:t>
            </w:r>
          </w:p>
        </w:tc>
        <w:tc>
          <w:tcPr>
            <w:tcW w:w="725"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306,119</w:t>
            </w:r>
          </w:p>
        </w:tc>
        <w:tc>
          <w:tcPr>
            <w:tcW w:w="842"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276,912</w:t>
            </w:r>
          </w:p>
        </w:tc>
        <w:tc>
          <w:tcPr>
            <w:tcW w:w="740"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250,713</w:t>
            </w:r>
          </w:p>
        </w:tc>
      </w:tr>
      <w:tr w:rsidR="00711FF6" w:rsidRPr="00686018" w:rsidTr="00B245B9">
        <w:trPr>
          <w:trHeight w:val="280"/>
          <w:jc w:val="center"/>
        </w:trPr>
        <w:tc>
          <w:tcPr>
            <w:tcW w:w="486"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40</w:t>
            </w:r>
          </w:p>
        </w:tc>
        <w:tc>
          <w:tcPr>
            <w:tcW w:w="863"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477,754</w:t>
            </w:r>
          </w:p>
        </w:tc>
        <w:tc>
          <w:tcPr>
            <w:tcW w:w="739"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479,930</w:t>
            </w:r>
          </w:p>
        </w:tc>
        <w:tc>
          <w:tcPr>
            <w:tcW w:w="740"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493,247</w:t>
            </w:r>
          </w:p>
        </w:tc>
        <w:tc>
          <w:tcPr>
            <w:tcW w:w="739"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421,726</w:t>
            </w:r>
          </w:p>
        </w:tc>
        <w:tc>
          <w:tcPr>
            <w:tcW w:w="750" w:type="dxa"/>
            <w:tcBorders>
              <w:bottom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354,525</w:t>
            </w:r>
          </w:p>
        </w:tc>
        <w:tc>
          <w:tcPr>
            <w:tcW w:w="739" w:type="dxa"/>
            <w:tcBorders>
              <w:left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274,919</w:t>
            </w:r>
          </w:p>
        </w:tc>
        <w:tc>
          <w:tcPr>
            <w:tcW w:w="740"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288,376</w:t>
            </w:r>
          </w:p>
        </w:tc>
        <w:tc>
          <w:tcPr>
            <w:tcW w:w="725"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306,205</w:t>
            </w:r>
          </w:p>
        </w:tc>
        <w:tc>
          <w:tcPr>
            <w:tcW w:w="842"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277,196</w:t>
            </w:r>
          </w:p>
        </w:tc>
        <w:tc>
          <w:tcPr>
            <w:tcW w:w="740"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250,829</w:t>
            </w:r>
          </w:p>
        </w:tc>
      </w:tr>
    </w:tbl>
    <w:p w:rsidR="00416C9D" w:rsidRPr="00416C9D" w:rsidRDefault="00416C9D" w:rsidP="00416C9D">
      <w:pPr>
        <w:spacing w:before="360" w:after="360"/>
        <w:rPr>
          <w:rFonts w:ascii="Times New Roman" w:hAnsi="Times New Roman" w:cs="Times New Roman"/>
          <w:b/>
          <w:sz w:val="24"/>
          <w:szCs w:val="24"/>
        </w:rPr>
      </w:pPr>
      <w:r w:rsidRPr="00416C9D">
        <w:rPr>
          <w:rFonts w:ascii="Times New Roman" w:hAnsi="Times New Roman" w:cs="Times New Roman"/>
          <w:b/>
          <w:sz w:val="24"/>
          <w:szCs w:val="24"/>
        </w:rPr>
        <w:lastRenderedPageBreak/>
        <w:t xml:space="preserve">Experimento </w:t>
      </w:r>
      <w:r>
        <w:rPr>
          <w:rFonts w:ascii="Times New Roman" w:hAnsi="Times New Roman" w:cs="Times New Roman"/>
          <w:b/>
          <w:sz w:val="24"/>
          <w:szCs w:val="24"/>
        </w:rPr>
        <w:t>I:S – 1</w:t>
      </w:r>
      <w:r w:rsidRPr="00416C9D">
        <w:rPr>
          <w:rFonts w:ascii="Times New Roman" w:hAnsi="Times New Roman" w:cs="Times New Roman"/>
          <w:b/>
          <w:sz w:val="24"/>
          <w:szCs w:val="24"/>
        </w:rPr>
        <w:t>:1</w:t>
      </w:r>
    </w:p>
    <w:tbl>
      <w:tblPr>
        <w:tblW w:w="8098" w:type="dxa"/>
        <w:jc w:val="center"/>
        <w:tblCellMar>
          <w:left w:w="70" w:type="dxa"/>
          <w:right w:w="70" w:type="dxa"/>
        </w:tblCellMar>
        <w:tblLook w:val="04A0" w:firstRow="1" w:lastRow="0" w:firstColumn="1" w:lastColumn="0" w:noHBand="0" w:noVBand="1"/>
      </w:tblPr>
      <w:tblGrid>
        <w:gridCol w:w="521"/>
        <w:gridCol w:w="737"/>
        <w:gridCol w:w="843"/>
        <w:gridCol w:w="737"/>
        <w:gridCol w:w="737"/>
        <w:gridCol w:w="770"/>
        <w:gridCol w:w="823"/>
        <w:gridCol w:w="737"/>
        <w:gridCol w:w="737"/>
        <w:gridCol w:w="737"/>
        <w:gridCol w:w="725"/>
      </w:tblGrid>
      <w:tr w:rsidR="007C6631" w:rsidRPr="00686018" w:rsidTr="00B245B9">
        <w:trPr>
          <w:trHeight w:val="292"/>
          <w:jc w:val="center"/>
        </w:trPr>
        <w:tc>
          <w:tcPr>
            <w:tcW w:w="521" w:type="dxa"/>
            <w:vMerge w:val="restart"/>
            <w:tcBorders>
              <w:top w:val="single" w:sz="4" w:space="0" w:color="auto"/>
            </w:tcBorders>
            <w:shd w:val="clear" w:color="auto" w:fill="auto"/>
            <w:noWrap/>
            <w:vAlign w:val="center"/>
            <w:hideMark/>
          </w:tcPr>
          <w:p w:rsidR="007C6631" w:rsidRPr="00686018" w:rsidRDefault="008C7DE0"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Día</w:t>
            </w:r>
          </w:p>
        </w:tc>
        <w:tc>
          <w:tcPr>
            <w:tcW w:w="3824" w:type="dxa"/>
            <w:gridSpan w:val="5"/>
            <w:tcBorders>
              <w:top w:val="single" w:sz="4" w:space="0" w:color="auto"/>
              <w:bottom w:val="single" w:sz="4" w:space="0" w:color="auto"/>
              <w:right w:val="single" w:sz="4" w:space="0" w:color="auto"/>
            </w:tcBorders>
            <w:shd w:val="clear" w:color="auto" w:fill="auto"/>
            <w:noWrap/>
            <w:vAlign w:val="center"/>
            <w:hideMark/>
          </w:tcPr>
          <w:p w:rsidR="007C6631"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7C6631" w:rsidRPr="00686018">
              <w:rPr>
                <w:rFonts w:ascii="Times New Roman" w:eastAsia="Times New Roman" w:hAnsi="Times New Roman" w:cs="Times New Roman"/>
                <w:b/>
                <w:bCs/>
                <w:color w:val="000000"/>
                <w:sz w:val="18"/>
                <w:szCs w:val="18"/>
                <w:lang w:eastAsia="es-EC"/>
              </w:rPr>
              <w:t xml:space="preserve"> de </w:t>
            </w:r>
            <w:r w:rsidR="008C7DE0" w:rsidRPr="00686018">
              <w:rPr>
                <w:rFonts w:ascii="Times New Roman" w:eastAsia="Times New Roman" w:hAnsi="Times New Roman" w:cs="Times New Roman"/>
                <w:b/>
                <w:bCs/>
                <w:color w:val="000000"/>
                <w:sz w:val="18"/>
                <w:szCs w:val="18"/>
                <w:lang w:eastAsia="es-EC"/>
              </w:rPr>
              <w:t>Biogás</w:t>
            </w:r>
            <w:r w:rsidR="007C6631" w:rsidRPr="00686018">
              <w:rPr>
                <w:rFonts w:ascii="Times New Roman" w:eastAsia="Times New Roman" w:hAnsi="Times New Roman" w:cs="Times New Roman"/>
                <w:b/>
                <w:bCs/>
                <w:color w:val="000000"/>
                <w:sz w:val="18"/>
                <w:szCs w:val="18"/>
                <w:lang w:eastAsia="es-EC"/>
              </w:rPr>
              <w:t>/g</w:t>
            </w:r>
            <w:r w:rsidR="008C7DE0" w:rsidRPr="00686018">
              <w:rPr>
                <w:rFonts w:ascii="Times New Roman" w:eastAsia="Times New Roman" w:hAnsi="Times New Roman" w:cs="Times New Roman"/>
                <w:b/>
                <w:bCs/>
                <w:color w:val="000000"/>
                <w:sz w:val="18"/>
                <w:szCs w:val="18"/>
                <w:lang w:eastAsia="es-EC"/>
              </w:rPr>
              <w:t>-</w:t>
            </w:r>
            <w:r w:rsidR="007C6631" w:rsidRPr="00686018">
              <w:rPr>
                <w:rFonts w:ascii="Times New Roman" w:eastAsia="Times New Roman" w:hAnsi="Times New Roman" w:cs="Times New Roman"/>
                <w:b/>
                <w:bCs/>
                <w:color w:val="000000"/>
                <w:sz w:val="18"/>
                <w:szCs w:val="18"/>
                <w:lang w:eastAsia="es-EC"/>
              </w:rPr>
              <w:t>SV</w:t>
            </w:r>
          </w:p>
        </w:tc>
        <w:tc>
          <w:tcPr>
            <w:tcW w:w="3753" w:type="dxa"/>
            <w:gridSpan w:val="5"/>
            <w:tcBorders>
              <w:top w:val="single" w:sz="4" w:space="0" w:color="auto"/>
              <w:left w:val="single" w:sz="4" w:space="0" w:color="auto"/>
              <w:bottom w:val="single" w:sz="4" w:space="0" w:color="auto"/>
            </w:tcBorders>
            <w:shd w:val="clear" w:color="auto" w:fill="auto"/>
            <w:noWrap/>
            <w:vAlign w:val="center"/>
            <w:hideMark/>
          </w:tcPr>
          <w:p w:rsidR="007C6631"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7C6631" w:rsidRPr="00686018">
              <w:rPr>
                <w:rFonts w:ascii="Times New Roman" w:eastAsia="Times New Roman" w:hAnsi="Times New Roman" w:cs="Times New Roman"/>
                <w:b/>
                <w:bCs/>
                <w:color w:val="000000"/>
                <w:sz w:val="18"/>
                <w:szCs w:val="18"/>
                <w:lang w:eastAsia="es-EC"/>
              </w:rPr>
              <w:t xml:space="preserve"> de Metano/g</w:t>
            </w:r>
            <w:r w:rsidR="008C7DE0" w:rsidRPr="00686018">
              <w:rPr>
                <w:rFonts w:ascii="Times New Roman" w:eastAsia="Times New Roman" w:hAnsi="Times New Roman" w:cs="Times New Roman"/>
                <w:b/>
                <w:bCs/>
                <w:color w:val="000000"/>
                <w:sz w:val="18"/>
                <w:szCs w:val="18"/>
                <w:lang w:eastAsia="es-EC"/>
              </w:rPr>
              <w:t>-</w:t>
            </w:r>
            <w:r w:rsidR="007C6631" w:rsidRPr="00686018">
              <w:rPr>
                <w:rFonts w:ascii="Times New Roman" w:eastAsia="Times New Roman" w:hAnsi="Times New Roman" w:cs="Times New Roman"/>
                <w:b/>
                <w:bCs/>
                <w:color w:val="000000"/>
                <w:sz w:val="18"/>
                <w:szCs w:val="18"/>
                <w:lang w:eastAsia="es-EC"/>
              </w:rPr>
              <w:t>SV</w:t>
            </w:r>
          </w:p>
        </w:tc>
      </w:tr>
      <w:tr w:rsidR="00711FF6" w:rsidRPr="00686018" w:rsidTr="00B245B9">
        <w:trPr>
          <w:trHeight w:val="292"/>
          <w:jc w:val="center"/>
        </w:trPr>
        <w:tc>
          <w:tcPr>
            <w:tcW w:w="521" w:type="dxa"/>
            <w:vMerge/>
            <w:tcBorders>
              <w:bottom w:val="single" w:sz="4" w:space="0" w:color="auto"/>
            </w:tcBorders>
            <w:shd w:val="clear" w:color="auto" w:fill="auto"/>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p>
        </w:tc>
        <w:tc>
          <w:tcPr>
            <w:tcW w:w="737"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843"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37"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37"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3:1</w:t>
            </w:r>
          </w:p>
        </w:tc>
        <w:tc>
          <w:tcPr>
            <w:tcW w:w="767" w:type="dxa"/>
            <w:tcBorders>
              <w:top w:val="single" w:sz="4" w:space="0" w:color="auto"/>
              <w:bottom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c>
          <w:tcPr>
            <w:tcW w:w="823" w:type="dxa"/>
            <w:tcBorders>
              <w:top w:val="single" w:sz="4" w:space="0" w:color="auto"/>
              <w:left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37"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37"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37"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3:1</w:t>
            </w:r>
          </w:p>
        </w:tc>
        <w:tc>
          <w:tcPr>
            <w:tcW w:w="716"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r>
      <w:tr w:rsidR="00711FF6" w:rsidRPr="00686018" w:rsidTr="00B245B9">
        <w:trPr>
          <w:trHeight w:val="292"/>
          <w:jc w:val="center"/>
        </w:trPr>
        <w:tc>
          <w:tcPr>
            <w:tcW w:w="521"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w:t>
            </w:r>
          </w:p>
        </w:tc>
        <w:tc>
          <w:tcPr>
            <w:tcW w:w="737"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21,004</w:t>
            </w:r>
          </w:p>
        </w:tc>
        <w:tc>
          <w:tcPr>
            <w:tcW w:w="843"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22,628</w:t>
            </w:r>
          </w:p>
        </w:tc>
        <w:tc>
          <w:tcPr>
            <w:tcW w:w="737"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15,179</w:t>
            </w:r>
          </w:p>
        </w:tc>
        <w:tc>
          <w:tcPr>
            <w:tcW w:w="737"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22,606</w:t>
            </w:r>
          </w:p>
        </w:tc>
        <w:tc>
          <w:tcPr>
            <w:tcW w:w="767" w:type="dxa"/>
            <w:tcBorders>
              <w:top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22,433</w:t>
            </w:r>
          </w:p>
        </w:tc>
        <w:tc>
          <w:tcPr>
            <w:tcW w:w="823" w:type="dxa"/>
            <w:tcBorders>
              <w:top w:val="single" w:sz="4" w:space="0" w:color="auto"/>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7,567</w:t>
            </w:r>
          </w:p>
        </w:tc>
        <w:tc>
          <w:tcPr>
            <w:tcW w:w="737"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9,608</w:t>
            </w:r>
          </w:p>
        </w:tc>
        <w:tc>
          <w:tcPr>
            <w:tcW w:w="737"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9,654</w:t>
            </w:r>
          </w:p>
        </w:tc>
        <w:tc>
          <w:tcPr>
            <w:tcW w:w="737"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12,345</w:t>
            </w:r>
          </w:p>
        </w:tc>
        <w:tc>
          <w:tcPr>
            <w:tcW w:w="716"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13,100</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43,523</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45,320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38,521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46,273</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46,078</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22,888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25,994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29,968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34,260</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36,606</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80,377</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78,861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55,476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82,434</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82,499</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43,414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45,307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40,509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58,759</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62,776</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113,810</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122,666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73,578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98,176</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98,393</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63,625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72,572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52,700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70,784</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75,888</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148,563</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157,008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99,735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120,068</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109,717</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83,590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93,066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69,962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86,633</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85,121</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180,502</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181,628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126,260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150,447</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120,089</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103,269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107,957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87,224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107,293</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93,286</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195,183</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190,527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136,806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165,713</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123,056</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112,231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113,799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94,534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118,031</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95,648</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216,641</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204,126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154,280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181,022</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137,325</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124,411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122,020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105,495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128,230</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105,997</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231,864</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213,112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170,563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194,836</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151,313</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133,330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127,546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115,846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137,288</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116,240</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245,180</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225,649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185,807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205,014</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166,124</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141,254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135,439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125,408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143,996</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126,887</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255,791</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235,480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199,730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212,484</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180,112</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147,782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141,505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133,889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148,739</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137,410</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266,509</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247,108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214,195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220,777</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195,378</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154,219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148,610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142,659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154,125</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146,870</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sz w:val="18"/>
                <w:szCs w:val="18"/>
                <w:lang w:eastAsia="es-EC"/>
              </w:rPr>
            </w:pPr>
            <w:r w:rsidRPr="00686018">
              <w:rPr>
                <w:rFonts w:ascii="Times New Roman" w:eastAsia="Times New Roman" w:hAnsi="Times New Roman" w:cs="Times New Roman"/>
                <w:b/>
                <w:sz w:val="18"/>
                <w:szCs w:val="18"/>
                <w:lang w:eastAsia="es-EC"/>
              </w:rPr>
              <w:t>13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277,769</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261,290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227,403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233,141</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209,539</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161,012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157,461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150,931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161,975</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156,162</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286,625</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273,979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239,789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245,224</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222,856</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166,464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165,317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158,620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169,849</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164,787</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294,810</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284,849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250,356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257,046</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231,929</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171,324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171,538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164,650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177,593</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168,428</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303,233</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295,438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260,381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271,597</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244,314</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176,575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178,098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170,846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186,249</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176,144</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313,042</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306,286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270,147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282,879</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255,769</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182,424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184,656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176,927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193,235</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183,137</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320,577</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315,380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278,418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293,532</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264,517</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187,289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190,253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182,020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199,946</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188,867</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19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329,044</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324,345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286,083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303,341</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272,485</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192,502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195,865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186,730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205,827</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193,836</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336,969</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332,595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293,554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312,890</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280,367</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197,308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200,673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191,168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211,480</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198,505</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344,396</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339,502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299,487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320,772</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287,274</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201,992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205,172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194,969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217,138</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200,952</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353,555</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345,435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306,113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330,603</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294,139</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207,105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208,471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198,738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222,417</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204,936</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361,719</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351,585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311,310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339,026</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299,595</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212,152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212,567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202,134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227,703</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208,499</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369,427</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356,890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316,831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346,280</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304,554</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216,636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215,754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205,319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232,162</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211,093</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376,789</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362,087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321,898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352,949</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308,625</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220,738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218,732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208,144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236,348</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212,984</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384,736</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367,392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328,004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359,488</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313,756</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225,116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221,946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211,500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240,026</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215,610</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391,990</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371,008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332,227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364,252</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316,745</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229,523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223,873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214,567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243,220</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217,375</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398,919</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374,819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336,557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367,699</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320,382</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233,424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225,859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217,389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245,220</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219,611</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29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405,891</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378,565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340,195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373,481</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323,457</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237,482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228,102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219,737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249,166</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221,449</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411,326</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382,397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343,984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378,742</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327,181</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240,305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230,308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221,573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251,997</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222,811</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417,454</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386,771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349,008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383,636</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331,880</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243,756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232,645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224,724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254,404</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225,021</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424,621</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390,561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352,732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389,829</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335,799</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247,601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234,601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226,637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257,176</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227,054</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431,139</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394,393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356,522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395,091</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339,740</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250,992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236,807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228,473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260,008</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228,517</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436,574</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398,226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360,311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400,352</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343,465</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253,815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239,014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230,309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262,839</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229,879</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441,663</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403,141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364,837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407,216</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349,008</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256,568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241,747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232,574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266,082</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232,997</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446,296</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406,866</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367,998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412,067</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353,295</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259,204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242,970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234,155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268,525</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235,118</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450,172</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409,269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370,770</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416,246</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356,825</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261,097</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243,792</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235,654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270,771</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236,872</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453,853</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412,431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373,563</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420,403</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359,900</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262,974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245,498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236,048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272,371</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238,205</w:t>
            </w:r>
          </w:p>
        </w:tc>
      </w:tr>
      <w:tr w:rsidR="00711FF6" w:rsidRPr="00686018" w:rsidTr="00B245B9">
        <w:trPr>
          <w:trHeight w:val="292"/>
          <w:jc w:val="center"/>
        </w:trPr>
        <w:tc>
          <w:tcPr>
            <w:tcW w:w="521"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39</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457,578</w:t>
            </w:r>
          </w:p>
        </w:tc>
        <w:tc>
          <w:tcPr>
            <w:tcW w:w="843"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415,375</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376,161</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424,128</w:t>
            </w:r>
          </w:p>
        </w:tc>
        <w:tc>
          <w:tcPr>
            <w:tcW w:w="767"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362,693</w:t>
            </w:r>
          </w:p>
        </w:tc>
        <w:tc>
          <w:tcPr>
            <w:tcW w:w="823"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263,438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245,584</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236,178</w:t>
            </w:r>
          </w:p>
        </w:tc>
        <w:tc>
          <w:tcPr>
            <w:tcW w:w="737"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272,740</w:t>
            </w:r>
          </w:p>
        </w:tc>
        <w:tc>
          <w:tcPr>
            <w:tcW w:w="716"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239,191</w:t>
            </w:r>
          </w:p>
        </w:tc>
      </w:tr>
      <w:tr w:rsidR="00711FF6" w:rsidRPr="00686018" w:rsidTr="00B245B9">
        <w:trPr>
          <w:trHeight w:val="292"/>
          <w:jc w:val="center"/>
        </w:trPr>
        <w:tc>
          <w:tcPr>
            <w:tcW w:w="521"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color w:val="000000"/>
                <w:sz w:val="18"/>
                <w:szCs w:val="18"/>
                <w:lang w:eastAsia="es-EC"/>
              </w:rPr>
            </w:pPr>
            <w:r w:rsidRPr="00686018">
              <w:rPr>
                <w:rFonts w:ascii="Times New Roman" w:eastAsia="Times New Roman" w:hAnsi="Times New Roman" w:cs="Times New Roman"/>
                <w:b/>
                <w:color w:val="000000"/>
                <w:sz w:val="18"/>
                <w:szCs w:val="18"/>
                <w:lang w:eastAsia="es-EC"/>
              </w:rPr>
              <w:t>40</w:t>
            </w:r>
          </w:p>
        </w:tc>
        <w:tc>
          <w:tcPr>
            <w:tcW w:w="737"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460,891</w:t>
            </w:r>
          </w:p>
        </w:tc>
        <w:tc>
          <w:tcPr>
            <w:tcW w:w="843"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417,822</w:t>
            </w:r>
          </w:p>
        </w:tc>
        <w:tc>
          <w:tcPr>
            <w:tcW w:w="737"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378,457</w:t>
            </w:r>
          </w:p>
        </w:tc>
        <w:tc>
          <w:tcPr>
            <w:tcW w:w="737"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427,787</w:t>
            </w:r>
          </w:p>
        </w:tc>
        <w:tc>
          <w:tcPr>
            <w:tcW w:w="767" w:type="dxa"/>
            <w:tcBorders>
              <w:bottom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365,335</w:t>
            </w:r>
          </w:p>
        </w:tc>
        <w:tc>
          <w:tcPr>
            <w:tcW w:w="823" w:type="dxa"/>
            <w:tcBorders>
              <w:left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264,589</w:t>
            </w:r>
          </w:p>
        </w:tc>
        <w:tc>
          <w:tcPr>
            <w:tcW w:w="737"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245,631</w:t>
            </w:r>
          </w:p>
        </w:tc>
        <w:tc>
          <w:tcPr>
            <w:tcW w:w="737"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236,205</w:t>
            </w:r>
          </w:p>
        </w:tc>
        <w:tc>
          <w:tcPr>
            <w:tcW w:w="737"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272,836</w:t>
            </w:r>
          </w:p>
        </w:tc>
        <w:tc>
          <w:tcPr>
            <w:tcW w:w="716"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239,247</w:t>
            </w:r>
          </w:p>
        </w:tc>
      </w:tr>
    </w:tbl>
    <w:p w:rsidR="007C6631" w:rsidRPr="00686018" w:rsidRDefault="007C6631" w:rsidP="00A31608">
      <w:pPr>
        <w:jc w:val="both"/>
        <w:rPr>
          <w:rFonts w:ascii="Times New Roman" w:hAnsi="Times New Roman" w:cs="Times New Roman"/>
        </w:rPr>
      </w:pPr>
    </w:p>
    <w:p w:rsidR="00416C9D" w:rsidRPr="00416C9D" w:rsidRDefault="00416C9D" w:rsidP="00416C9D">
      <w:pPr>
        <w:spacing w:before="360" w:after="360"/>
        <w:rPr>
          <w:rFonts w:ascii="Times New Roman" w:hAnsi="Times New Roman" w:cs="Times New Roman"/>
          <w:b/>
          <w:sz w:val="24"/>
          <w:szCs w:val="24"/>
        </w:rPr>
      </w:pPr>
      <w:r w:rsidRPr="00416C9D">
        <w:rPr>
          <w:rFonts w:ascii="Times New Roman" w:hAnsi="Times New Roman" w:cs="Times New Roman"/>
          <w:b/>
          <w:sz w:val="24"/>
          <w:szCs w:val="24"/>
        </w:rPr>
        <w:lastRenderedPageBreak/>
        <w:t xml:space="preserve">Experimento </w:t>
      </w:r>
      <w:r>
        <w:rPr>
          <w:rFonts w:ascii="Times New Roman" w:hAnsi="Times New Roman" w:cs="Times New Roman"/>
          <w:b/>
          <w:sz w:val="24"/>
          <w:szCs w:val="24"/>
        </w:rPr>
        <w:t>I:S – 1:2</w:t>
      </w:r>
    </w:p>
    <w:tbl>
      <w:tblPr>
        <w:tblW w:w="8080" w:type="dxa"/>
        <w:jc w:val="center"/>
        <w:tblCellMar>
          <w:left w:w="70" w:type="dxa"/>
          <w:right w:w="70" w:type="dxa"/>
        </w:tblCellMar>
        <w:tblLook w:val="04A0" w:firstRow="1" w:lastRow="0" w:firstColumn="1" w:lastColumn="0" w:noHBand="0" w:noVBand="1"/>
      </w:tblPr>
      <w:tblGrid>
        <w:gridCol w:w="734"/>
        <w:gridCol w:w="734"/>
        <w:gridCol w:w="734"/>
        <w:gridCol w:w="734"/>
        <w:gridCol w:w="734"/>
        <w:gridCol w:w="737"/>
        <w:gridCol w:w="734"/>
        <w:gridCol w:w="734"/>
        <w:gridCol w:w="734"/>
        <w:gridCol w:w="734"/>
        <w:gridCol w:w="737"/>
      </w:tblGrid>
      <w:tr w:rsidR="007C6631" w:rsidRPr="00686018" w:rsidTr="00B245B9">
        <w:trPr>
          <w:trHeight w:val="289"/>
          <w:jc w:val="center"/>
        </w:trPr>
        <w:tc>
          <w:tcPr>
            <w:tcW w:w="734" w:type="dxa"/>
            <w:vMerge w:val="restart"/>
            <w:tcBorders>
              <w:top w:val="single" w:sz="4" w:space="0" w:color="auto"/>
            </w:tcBorders>
            <w:shd w:val="clear" w:color="auto" w:fill="auto"/>
            <w:noWrap/>
            <w:vAlign w:val="center"/>
            <w:hideMark/>
          </w:tcPr>
          <w:p w:rsidR="007C6631" w:rsidRPr="00686018" w:rsidRDefault="008C7DE0"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Día</w:t>
            </w:r>
          </w:p>
        </w:tc>
        <w:tc>
          <w:tcPr>
            <w:tcW w:w="3673" w:type="dxa"/>
            <w:gridSpan w:val="5"/>
            <w:tcBorders>
              <w:top w:val="single" w:sz="4" w:space="0" w:color="auto"/>
              <w:bottom w:val="single" w:sz="4" w:space="0" w:color="auto"/>
              <w:right w:val="single" w:sz="4" w:space="0" w:color="auto"/>
            </w:tcBorders>
            <w:shd w:val="clear" w:color="auto" w:fill="auto"/>
            <w:noWrap/>
            <w:vAlign w:val="center"/>
            <w:hideMark/>
          </w:tcPr>
          <w:p w:rsidR="007C6631"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7C6631" w:rsidRPr="00686018">
              <w:rPr>
                <w:rFonts w:ascii="Times New Roman" w:eastAsia="Times New Roman" w:hAnsi="Times New Roman" w:cs="Times New Roman"/>
                <w:b/>
                <w:bCs/>
                <w:color w:val="000000"/>
                <w:sz w:val="18"/>
                <w:szCs w:val="18"/>
                <w:lang w:eastAsia="es-EC"/>
              </w:rPr>
              <w:t xml:space="preserve"> de </w:t>
            </w:r>
            <w:r w:rsidR="008C7DE0" w:rsidRPr="00686018">
              <w:rPr>
                <w:rFonts w:ascii="Times New Roman" w:eastAsia="Times New Roman" w:hAnsi="Times New Roman" w:cs="Times New Roman"/>
                <w:b/>
                <w:bCs/>
                <w:color w:val="000000"/>
                <w:sz w:val="18"/>
                <w:szCs w:val="18"/>
                <w:lang w:eastAsia="es-EC"/>
              </w:rPr>
              <w:t>Biogás</w:t>
            </w:r>
            <w:r w:rsidR="007C6631" w:rsidRPr="00686018">
              <w:rPr>
                <w:rFonts w:ascii="Times New Roman" w:eastAsia="Times New Roman" w:hAnsi="Times New Roman" w:cs="Times New Roman"/>
                <w:b/>
                <w:bCs/>
                <w:color w:val="000000"/>
                <w:sz w:val="18"/>
                <w:szCs w:val="18"/>
                <w:lang w:eastAsia="es-EC"/>
              </w:rPr>
              <w:t>/g</w:t>
            </w:r>
            <w:r w:rsidR="008C7DE0" w:rsidRPr="00686018">
              <w:rPr>
                <w:rFonts w:ascii="Times New Roman" w:eastAsia="Times New Roman" w:hAnsi="Times New Roman" w:cs="Times New Roman"/>
                <w:b/>
                <w:bCs/>
                <w:color w:val="000000"/>
                <w:sz w:val="18"/>
                <w:szCs w:val="18"/>
                <w:lang w:eastAsia="es-EC"/>
              </w:rPr>
              <w:t>-</w:t>
            </w:r>
            <w:r w:rsidR="007C6631" w:rsidRPr="00686018">
              <w:rPr>
                <w:rFonts w:ascii="Times New Roman" w:eastAsia="Times New Roman" w:hAnsi="Times New Roman" w:cs="Times New Roman"/>
                <w:b/>
                <w:bCs/>
                <w:color w:val="000000"/>
                <w:sz w:val="18"/>
                <w:szCs w:val="18"/>
                <w:lang w:eastAsia="es-EC"/>
              </w:rPr>
              <w:t>SV</w:t>
            </w:r>
          </w:p>
        </w:tc>
        <w:tc>
          <w:tcPr>
            <w:tcW w:w="3673" w:type="dxa"/>
            <w:gridSpan w:val="5"/>
            <w:tcBorders>
              <w:top w:val="single" w:sz="4" w:space="0" w:color="auto"/>
              <w:left w:val="single" w:sz="4" w:space="0" w:color="auto"/>
              <w:bottom w:val="single" w:sz="4" w:space="0" w:color="auto"/>
            </w:tcBorders>
            <w:shd w:val="clear" w:color="auto" w:fill="auto"/>
            <w:noWrap/>
            <w:vAlign w:val="center"/>
            <w:hideMark/>
          </w:tcPr>
          <w:p w:rsidR="007C6631" w:rsidRPr="00686018" w:rsidRDefault="00DD14D0" w:rsidP="00B245B9">
            <w:pPr>
              <w:spacing w:after="0" w:line="240" w:lineRule="auto"/>
              <w:jc w:val="center"/>
              <w:rPr>
                <w:rFonts w:ascii="Times New Roman" w:eastAsia="Times New Roman" w:hAnsi="Times New Roman" w:cs="Times New Roman"/>
                <w:b/>
                <w:bCs/>
                <w:color w:val="000000"/>
                <w:sz w:val="18"/>
                <w:szCs w:val="18"/>
                <w:lang w:eastAsia="es-EC"/>
              </w:rPr>
            </w:pPr>
            <w:r>
              <w:rPr>
                <w:rFonts w:ascii="Times New Roman" w:eastAsia="Times New Roman" w:hAnsi="Times New Roman" w:cs="Times New Roman"/>
                <w:b/>
                <w:bCs/>
                <w:color w:val="000000"/>
                <w:sz w:val="18"/>
                <w:szCs w:val="18"/>
                <w:lang w:eastAsia="es-EC"/>
              </w:rPr>
              <w:t>mL</w:t>
            </w:r>
            <w:r w:rsidR="007C6631" w:rsidRPr="00686018">
              <w:rPr>
                <w:rFonts w:ascii="Times New Roman" w:eastAsia="Times New Roman" w:hAnsi="Times New Roman" w:cs="Times New Roman"/>
                <w:b/>
                <w:bCs/>
                <w:color w:val="000000"/>
                <w:sz w:val="18"/>
                <w:szCs w:val="18"/>
                <w:lang w:eastAsia="es-EC"/>
              </w:rPr>
              <w:t xml:space="preserve"> de Metano/g</w:t>
            </w:r>
            <w:r w:rsidR="008C7DE0" w:rsidRPr="00686018">
              <w:rPr>
                <w:rFonts w:ascii="Times New Roman" w:eastAsia="Times New Roman" w:hAnsi="Times New Roman" w:cs="Times New Roman"/>
                <w:b/>
                <w:bCs/>
                <w:color w:val="000000"/>
                <w:sz w:val="18"/>
                <w:szCs w:val="18"/>
                <w:lang w:eastAsia="es-EC"/>
              </w:rPr>
              <w:t>-</w:t>
            </w:r>
            <w:r w:rsidR="007C6631" w:rsidRPr="00686018">
              <w:rPr>
                <w:rFonts w:ascii="Times New Roman" w:eastAsia="Times New Roman" w:hAnsi="Times New Roman" w:cs="Times New Roman"/>
                <w:b/>
                <w:bCs/>
                <w:color w:val="000000"/>
                <w:sz w:val="18"/>
                <w:szCs w:val="18"/>
                <w:lang w:eastAsia="es-EC"/>
              </w:rPr>
              <w:t>SV</w:t>
            </w:r>
          </w:p>
        </w:tc>
      </w:tr>
      <w:tr w:rsidR="007C6631" w:rsidRPr="00686018" w:rsidTr="00B245B9">
        <w:trPr>
          <w:trHeight w:val="289"/>
          <w:jc w:val="center"/>
        </w:trPr>
        <w:tc>
          <w:tcPr>
            <w:tcW w:w="734" w:type="dxa"/>
            <w:vMerge/>
            <w:tcBorders>
              <w:bottom w:val="single" w:sz="4" w:space="0" w:color="auto"/>
            </w:tcBorders>
            <w:shd w:val="clear" w:color="auto" w:fill="auto"/>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p>
        </w:tc>
        <w:tc>
          <w:tcPr>
            <w:tcW w:w="734"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34"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34"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34"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3:1</w:t>
            </w:r>
          </w:p>
        </w:tc>
        <w:tc>
          <w:tcPr>
            <w:tcW w:w="734" w:type="dxa"/>
            <w:tcBorders>
              <w:top w:val="single" w:sz="4" w:space="0" w:color="auto"/>
              <w:bottom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c>
          <w:tcPr>
            <w:tcW w:w="734" w:type="dxa"/>
            <w:tcBorders>
              <w:top w:val="single" w:sz="4" w:space="0" w:color="auto"/>
              <w:left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0:4</w:t>
            </w:r>
          </w:p>
        </w:tc>
        <w:tc>
          <w:tcPr>
            <w:tcW w:w="734"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1:3</w:t>
            </w:r>
          </w:p>
        </w:tc>
        <w:tc>
          <w:tcPr>
            <w:tcW w:w="734"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2:2</w:t>
            </w:r>
          </w:p>
        </w:tc>
        <w:tc>
          <w:tcPr>
            <w:tcW w:w="734"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000000"/>
                <w:sz w:val="18"/>
                <w:szCs w:val="18"/>
                <w:lang w:eastAsia="es-EC"/>
              </w:rPr>
            </w:pPr>
            <w:r w:rsidRPr="00686018">
              <w:rPr>
                <w:rFonts w:ascii="Times New Roman" w:eastAsia="Times New Roman" w:hAnsi="Times New Roman" w:cs="Times New Roman"/>
                <w:b/>
                <w:bCs/>
                <w:color w:val="000000"/>
                <w:sz w:val="18"/>
                <w:szCs w:val="18"/>
                <w:lang w:eastAsia="es-EC"/>
              </w:rPr>
              <w:t xml:space="preserve">R </w:t>
            </w:r>
            <w:r w:rsidRPr="00686018">
              <w:rPr>
                <w:rFonts w:ascii="Times New Roman" w:eastAsia="Times New Roman" w:hAnsi="Times New Roman" w:cs="Times New Roman"/>
                <w:b/>
                <w:bCs/>
                <w:color w:val="FF0000"/>
                <w:sz w:val="18"/>
                <w:szCs w:val="18"/>
                <w:lang w:eastAsia="es-EC"/>
              </w:rPr>
              <w:t>3:1</w:t>
            </w:r>
          </w:p>
        </w:tc>
        <w:tc>
          <w:tcPr>
            <w:tcW w:w="734" w:type="dxa"/>
            <w:tcBorders>
              <w:top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b/>
                <w:bCs/>
                <w:color w:val="FF0000"/>
                <w:sz w:val="18"/>
                <w:szCs w:val="18"/>
                <w:lang w:eastAsia="es-EC"/>
              </w:rPr>
            </w:pPr>
            <w:r w:rsidRPr="00686018">
              <w:rPr>
                <w:rFonts w:ascii="Times New Roman" w:eastAsia="Times New Roman" w:hAnsi="Times New Roman" w:cs="Times New Roman"/>
                <w:b/>
                <w:bCs/>
                <w:sz w:val="18"/>
                <w:szCs w:val="18"/>
                <w:lang w:eastAsia="es-EC"/>
              </w:rPr>
              <w:t xml:space="preserve">R </w:t>
            </w:r>
            <w:r w:rsidRPr="00686018">
              <w:rPr>
                <w:rFonts w:ascii="Times New Roman" w:eastAsia="Times New Roman" w:hAnsi="Times New Roman" w:cs="Times New Roman"/>
                <w:b/>
                <w:bCs/>
                <w:color w:val="FF0000"/>
                <w:sz w:val="18"/>
                <w:szCs w:val="18"/>
                <w:lang w:eastAsia="es-EC"/>
              </w:rPr>
              <w:t>4:0</w:t>
            </w:r>
          </w:p>
        </w:tc>
      </w:tr>
      <w:tr w:rsidR="007C6631" w:rsidRPr="00686018" w:rsidTr="00B245B9">
        <w:trPr>
          <w:trHeight w:val="289"/>
          <w:jc w:val="center"/>
        </w:trPr>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w:t>
            </w:r>
          </w:p>
        </w:tc>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21,843</w:t>
            </w:r>
          </w:p>
        </w:tc>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21,973</w:t>
            </w:r>
          </w:p>
        </w:tc>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21,940</w:t>
            </w:r>
          </w:p>
        </w:tc>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21,810</w:t>
            </w:r>
          </w:p>
        </w:tc>
        <w:tc>
          <w:tcPr>
            <w:tcW w:w="734" w:type="dxa"/>
            <w:tcBorders>
              <w:top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19,163</w:t>
            </w:r>
          </w:p>
        </w:tc>
        <w:tc>
          <w:tcPr>
            <w:tcW w:w="734" w:type="dxa"/>
            <w:tcBorders>
              <w:top w:val="single" w:sz="4" w:space="0" w:color="auto"/>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4,243</w:t>
            </w:r>
          </w:p>
        </w:tc>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7,929</w:t>
            </w:r>
          </w:p>
        </w:tc>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6,958</w:t>
            </w:r>
          </w:p>
        </w:tc>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5,675</w:t>
            </w:r>
          </w:p>
        </w:tc>
        <w:tc>
          <w:tcPr>
            <w:tcW w:w="734" w:type="dxa"/>
            <w:tcBorders>
              <w:top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7,390</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47,275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47,323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59,260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57,100</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37,937</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16,408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20,224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27,505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26,222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13,566</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69,864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82,856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89,434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87,761</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64,197</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26,156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39,723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44,536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46,834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36,299</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84,675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110,497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111,926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112,072</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89,141</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32,264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54,399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57,618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62,996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55,203</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101,061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130,261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136,188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136,562</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115,288</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38,499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64,613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72,686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79,766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75,848</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112,186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146,680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160,841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161,003</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140,963</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43,324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73,525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88,365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96,489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95,357</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124,674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165,063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178,802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188,400</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156,326</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49,162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84,587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99,399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113,244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104,911</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132,437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178,477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198,079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203,796</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178,851</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53,273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92,664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112,618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123,905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122,116</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140,021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196,601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212,159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230,104</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192,769</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57,026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103,569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121,882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141,733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131,936</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151,162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214,530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229,471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256,689</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207,417</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62,635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114,843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133,017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158,490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141,823</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160,126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229,438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246,182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282,754</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229,032</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67,855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124,229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143,751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173,294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155,721</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172,290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246,296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260,619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307,212</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238,598</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74,752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134,762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152,824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187,181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161,820</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sz w:val="18"/>
                <w:szCs w:val="18"/>
                <w:lang w:eastAsia="es-EC"/>
              </w:rPr>
            </w:pPr>
            <w:r w:rsidRPr="00686018">
              <w:rPr>
                <w:rFonts w:ascii="Times New Roman" w:eastAsia="Times New Roman" w:hAnsi="Times New Roman" w:cs="Times New Roman"/>
                <w:sz w:val="18"/>
                <w:szCs w:val="18"/>
                <w:lang w:eastAsia="es-EC"/>
              </w:rPr>
              <w:t>13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185,818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260,814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275,349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329,948</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246,604</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82,853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144,154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161,908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200,253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167,060</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199,427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272,572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289,526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348,884</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253,327</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91,210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151,837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170,529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211,107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171,187</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211,558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280,724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301,674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364,766</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258,930</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98,636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157,065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177,153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219,862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174,677</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222,293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290,582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322,299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378,115</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263,153</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105,383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162,561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189,258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227,312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177,258</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231,209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301,982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334,446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389,938</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268,236</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110,801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169,578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195,952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233,864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180,207</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239,751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313,675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344,872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398,529</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276,128</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115,962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177,167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201,742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238,588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184,199</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245,938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321,617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353,934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410,011</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281,163</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120,299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182,216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207,274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245,039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187,182</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251,963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330,159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364,766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417,254</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288,146</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124,345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187,740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213,508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249,251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190,924</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257,842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338,717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374,608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423,685</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299,676</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127,969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192,743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219,004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252,610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197,593</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262,893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346,123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382,809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429,937</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304,548</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131,407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197,279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223,586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256,348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199,525</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266,742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352,862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387,031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436,693</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307,975</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133,993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201,297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226,024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260,106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201,543</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274,504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358,481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393,673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442,621</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311,158</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138,990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204,282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229,554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263,348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203,260</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280,205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363,581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399,471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449,230</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314,374</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142,654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207,236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232,788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267,016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205,074</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287,253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368,388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406,682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456,035</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318,157</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147,330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210,072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236,801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271,056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207,261</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293,050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373,390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411,018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461,524</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324,702</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150,914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213,243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239,294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274,211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211,129</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299,043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378,911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415,061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465,275</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330,922</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154,225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216,398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241,472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276,124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214,601</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302,908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382,370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418,634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470,310</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336,492</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156,805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218,625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243,773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279,161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217,795</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305,133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384,725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420,940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472,518</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339,253</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157,098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219,019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244,062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279,467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218,233</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308,072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388,054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426,121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476,172</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343,248</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159,013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220,791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246,618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281,188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220,356</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310,314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391,042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430,782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479,664</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347,833</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159,893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222,080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248,917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282,603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222,719</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312,750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393,495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434,858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483,156</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352,104</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161,506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223,054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250,146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283,623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224,750</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315,186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395,947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438,934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486,339</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356,375</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162,947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224,028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250,912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284,707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226,781</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318,011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399,130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442,410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490,512</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360,045</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164,630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225,863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252,656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286,415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228,827</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320,545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402,102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445,820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493,663</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363,439</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165,821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226,717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253,889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287,647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230,361</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323,078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404,976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448,776</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496,407</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366,736</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166,463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227,113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254,872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288,657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231,450</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38</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325,303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407,331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451,082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498,616</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369,497</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166,755</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227,507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255,160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288,962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231,887</w:t>
            </w:r>
          </w:p>
        </w:tc>
      </w:tr>
      <w:tr w:rsidR="007C6631" w:rsidRPr="00686018" w:rsidTr="00B245B9">
        <w:trPr>
          <w:trHeight w:val="289"/>
          <w:jc w:val="center"/>
        </w:trPr>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39</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327,544</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409,751</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453,290</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500,938</w:t>
            </w:r>
          </w:p>
        </w:tc>
        <w:tc>
          <w:tcPr>
            <w:tcW w:w="734" w:type="dxa"/>
            <w:tcBorders>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372,501</w:t>
            </w:r>
          </w:p>
        </w:tc>
        <w:tc>
          <w:tcPr>
            <w:tcW w:w="734" w:type="dxa"/>
            <w:tcBorders>
              <w:lef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166,863</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227,637</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255,212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289,032</w:t>
            </w:r>
          </w:p>
        </w:tc>
        <w:tc>
          <w:tcPr>
            <w:tcW w:w="734" w:type="dxa"/>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232,090</w:t>
            </w:r>
          </w:p>
        </w:tc>
      </w:tr>
      <w:tr w:rsidR="007C6631" w:rsidRPr="00686018" w:rsidTr="00B245B9">
        <w:trPr>
          <w:trHeight w:val="289"/>
          <w:jc w:val="center"/>
        </w:trPr>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40</w:t>
            </w:r>
          </w:p>
        </w:tc>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329,639</w:t>
            </w:r>
          </w:p>
        </w:tc>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411,732</w:t>
            </w:r>
          </w:p>
        </w:tc>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455,434</w:t>
            </w:r>
          </w:p>
        </w:tc>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502,903</w:t>
            </w:r>
          </w:p>
        </w:tc>
        <w:tc>
          <w:tcPr>
            <w:tcW w:w="734" w:type="dxa"/>
            <w:tcBorders>
              <w:bottom w:val="single" w:sz="4" w:space="0" w:color="auto"/>
              <w:right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375,441</w:t>
            </w:r>
          </w:p>
        </w:tc>
        <w:tc>
          <w:tcPr>
            <w:tcW w:w="734" w:type="dxa"/>
            <w:tcBorders>
              <w:left w:val="single" w:sz="4" w:space="0" w:color="auto"/>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167,071</w:t>
            </w:r>
          </w:p>
        </w:tc>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227,739</w:t>
            </w:r>
          </w:p>
        </w:tc>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255,285</w:t>
            </w:r>
          </w:p>
        </w:tc>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289,078</w:t>
            </w:r>
          </w:p>
        </w:tc>
        <w:tc>
          <w:tcPr>
            <w:tcW w:w="734" w:type="dxa"/>
            <w:tcBorders>
              <w:bottom w:val="single" w:sz="4" w:space="0" w:color="auto"/>
            </w:tcBorders>
            <w:shd w:val="clear" w:color="auto" w:fill="auto"/>
            <w:noWrap/>
            <w:vAlign w:val="center"/>
            <w:hideMark/>
          </w:tcPr>
          <w:p w:rsidR="007C6631" w:rsidRPr="00686018" w:rsidRDefault="007C6631" w:rsidP="00B245B9">
            <w:pPr>
              <w:spacing w:after="0" w:line="240" w:lineRule="auto"/>
              <w:jc w:val="center"/>
              <w:rPr>
                <w:rFonts w:ascii="Times New Roman" w:eastAsia="Times New Roman" w:hAnsi="Times New Roman" w:cs="Times New Roman"/>
                <w:color w:val="000000"/>
                <w:sz w:val="18"/>
                <w:szCs w:val="18"/>
                <w:lang w:eastAsia="es-EC"/>
              </w:rPr>
            </w:pPr>
            <w:r w:rsidRPr="00686018">
              <w:rPr>
                <w:rFonts w:ascii="Times New Roman" w:eastAsia="Times New Roman" w:hAnsi="Times New Roman" w:cs="Times New Roman"/>
                <w:color w:val="000000"/>
                <w:sz w:val="18"/>
                <w:szCs w:val="18"/>
                <w:lang w:eastAsia="es-EC"/>
              </w:rPr>
              <w:t>232,249</w:t>
            </w:r>
          </w:p>
        </w:tc>
      </w:tr>
    </w:tbl>
    <w:p w:rsidR="007C6631" w:rsidRDefault="007C6631" w:rsidP="00A31608">
      <w:pPr>
        <w:jc w:val="both"/>
        <w:rPr>
          <w:rFonts w:ascii="Times New Roman" w:hAnsi="Times New Roman" w:cs="Times New Roman"/>
        </w:rPr>
      </w:pPr>
    </w:p>
    <w:p w:rsidR="00171726" w:rsidRPr="00171726" w:rsidRDefault="00171726" w:rsidP="00171726">
      <w:pPr>
        <w:pStyle w:val="Descripcin"/>
        <w:spacing w:before="360" w:after="360"/>
        <w:rPr>
          <w:rFonts w:ascii="Times New Roman" w:hAnsi="Times New Roman" w:cs="Times New Roman"/>
          <w:b/>
          <w:i w:val="0"/>
          <w:color w:val="auto"/>
          <w:sz w:val="24"/>
          <w:szCs w:val="24"/>
        </w:rPr>
      </w:pPr>
      <w:bookmarkStart w:id="310" w:name="_Toc9537935"/>
      <w:r w:rsidRPr="00171726">
        <w:rPr>
          <w:rFonts w:ascii="Times New Roman" w:hAnsi="Times New Roman" w:cs="Times New Roman"/>
          <w:b/>
          <w:i w:val="0"/>
          <w:color w:val="auto"/>
          <w:sz w:val="24"/>
          <w:szCs w:val="24"/>
        </w:rPr>
        <w:lastRenderedPageBreak/>
        <w:t xml:space="preserve">ANEXO </w:t>
      </w:r>
      <w:r w:rsidRPr="00171726">
        <w:rPr>
          <w:rFonts w:ascii="Times New Roman" w:hAnsi="Times New Roman" w:cs="Times New Roman"/>
          <w:b/>
          <w:i w:val="0"/>
          <w:color w:val="auto"/>
          <w:sz w:val="24"/>
          <w:szCs w:val="24"/>
        </w:rPr>
        <w:fldChar w:fldCharType="begin"/>
      </w:r>
      <w:r w:rsidRPr="00171726">
        <w:rPr>
          <w:rFonts w:ascii="Times New Roman" w:hAnsi="Times New Roman" w:cs="Times New Roman"/>
          <w:b/>
          <w:i w:val="0"/>
          <w:color w:val="auto"/>
          <w:sz w:val="24"/>
          <w:szCs w:val="24"/>
        </w:rPr>
        <w:instrText xml:space="preserve"> SEQ ANEXO \* ARABIC </w:instrText>
      </w:r>
      <w:r w:rsidRPr="00171726">
        <w:rPr>
          <w:rFonts w:ascii="Times New Roman" w:hAnsi="Times New Roman" w:cs="Times New Roman"/>
          <w:b/>
          <w:i w:val="0"/>
          <w:color w:val="auto"/>
          <w:sz w:val="24"/>
          <w:szCs w:val="24"/>
        </w:rPr>
        <w:fldChar w:fldCharType="separate"/>
      </w:r>
      <w:r w:rsidRPr="00171726">
        <w:rPr>
          <w:rFonts w:ascii="Times New Roman" w:hAnsi="Times New Roman" w:cs="Times New Roman"/>
          <w:b/>
          <w:i w:val="0"/>
          <w:noProof/>
          <w:color w:val="auto"/>
          <w:sz w:val="24"/>
          <w:szCs w:val="24"/>
        </w:rPr>
        <w:t>7</w:t>
      </w:r>
      <w:r w:rsidRPr="00171726">
        <w:rPr>
          <w:rFonts w:ascii="Times New Roman" w:hAnsi="Times New Roman" w:cs="Times New Roman"/>
          <w:b/>
          <w:i w:val="0"/>
          <w:color w:val="auto"/>
          <w:sz w:val="24"/>
          <w:szCs w:val="24"/>
        </w:rPr>
        <w:fldChar w:fldCharType="end"/>
      </w:r>
      <w:r w:rsidRPr="00171726">
        <w:rPr>
          <w:rFonts w:ascii="Times New Roman" w:hAnsi="Times New Roman" w:cs="Times New Roman"/>
          <w:b/>
          <w:i w:val="0"/>
          <w:color w:val="auto"/>
          <w:sz w:val="24"/>
          <w:szCs w:val="24"/>
        </w:rPr>
        <w:t xml:space="preserve">. </w:t>
      </w:r>
      <w:r w:rsidRPr="00171726">
        <w:rPr>
          <w:rFonts w:ascii="Times New Roman" w:hAnsi="Times New Roman" w:cs="Times New Roman"/>
          <w:i w:val="0"/>
          <w:color w:val="auto"/>
          <w:sz w:val="24"/>
          <w:szCs w:val="24"/>
        </w:rPr>
        <w:t>Ajustes de los modelos cinéticos</w:t>
      </w:r>
      <w:bookmarkEnd w:id="310"/>
    </w:p>
    <w:p w:rsidR="00471BAF" w:rsidRPr="00686018" w:rsidRDefault="002D2B85" w:rsidP="00B46DDC">
      <w:pPr>
        <w:jc w:val="center"/>
        <w:rPr>
          <w:rFonts w:ascii="Times New Roman" w:hAnsi="Times New Roman" w:cs="Times New Roman"/>
        </w:rPr>
      </w:pPr>
      <w:r w:rsidRPr="00686018">
        <w:rPr>
          <w:rFonts w:ascii="Times New Roman" w:hAnsi="Times New Roman" w:cs="Times New Roman"/>
          <w:noProof/>
          <w:lang w:eastAsia="es-EC"/>
        </w:rPr>
        <w:drawing>
          <wp:inline distT="0" distB="0" distL="0" distR="0" wp14:anchorId="061738B2" wp14:editId="43E6C600">
            <wp:extent cx="4774019" cy="3371116"/>
            <wp:effectExtent l="0" t="0" r="7620" b="127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794113" cy="3385305"/>
                    </a:xfrm>
                    <a:prstGeom prst="rect">
                      <a:avLst/>
                    </a:prstGeom>
                  </pic:spPr>
                </pic:pic>
              </a:graphicData>
            </a:graphic>
          </wp:inline>
        </w:drawing>
      </w:r>
    </w:p>
    <w:p w:rsidR="009E66AF" w:rsidRPr="00686018" w:rsidRDefault="00B639AA" w:rsidP="00B46DDC">
      <w:pPr>
        <w:pStyle w:val="Descripcin"/>
        <w:jc w:val="center"/>
        <w:rPr>
          <w:rFonts w:ascii="Times New Roman" w:hAnsi="Times New Roman" w:cs="Times New Roman"/>
          <w:i w:val="0"/>
          <w:color w:val="auto"/>
        </w:rPr>
      </w:pPr>
      <w:bookmarkStart w:id="311" w:name="_Toc9537895"/>
      <w:r>
        <w:rPr>
          <w:rFonts w:ascii="Times New Roman" w:hAnsi="Times New Roman" w:cs="Times New Roman"/>
          <w:b/>
          <w:i w:val="0"/>
          <w:color w:val="auto"/>
        </w:rPr>
        <w:t>Figura</w:t>
      </w:r>
      <w:r w:rsidR="009E66AF" w:rsidRPr="00686018">
        <w:rPr>
          <w:rFonts w:ascii="Times New Roman" w:hAnsi="Times New Roman" w:cs="Times New Roman"/>
          <w:b/>
          <w:i w:val="0"/>
          <w:color w:val="auto"/>
        </w:rPr>
        <w:t xml:space="preserve"> </w:t>
      </w:r>
      <w:r w:rsidR="009E66AF" w:rsidRPr="00686018">
        <w:rPr>
          <w:rFonts w:ascii="Times New Roman" w:hAnsi="Times New Roman" w:cs="Times New Roman"/>
          <w:b/>
          <w:i w:val="0"/>
          <w:color w:val="auto"/>
        </w:rPr>
        <w:fldChar w:fldCharType="begin"/>
      </w:r>
      <w:r w:rsidR="009E66AF" w:rsidRPr="00686018">
        <w:rPr>
          <w:rFonts w:ascii="Times New Roman" w:hAnsi="Times New Roman" w:cs="Times New Roman"/>
          <w:b/>
          <w:i w:val="0"/>
          <w:color w:val="auto"/>
        </w:rPr>
        <w:instrText xml:space="preserve"> SEQ Figure \* ARABIC </w:instrText>
      </w:r>
      <w:r w:rsidR="009E66AF"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27</w:t>
      </w:r>
      <w:r w:rsidR="009E66AF" w:rsidRPr="00686018">
        <w:rPr>
          <w:rFonts w:ascii="Times New Roman" w:hAnsi="Times New Roman" w:cs="Times New Roman"/>
          <w:b/>
          <w:i w:val="0"/>
          <w:color w:val="auto"/>
        </w:rPr>
        <w:fldChar w:fldCharType="end"/>
      </w:r>
      <w:r w:rsidR="009E66AF" w:rsidRPr="00686018">
        <w:rPr>
          <w:rFonts w:ascii="Times New Roman" w:hAnsi="Times New Roman" w:cs="Times New Roman"/>
          <w:b/>
          <w:i w:val="0"/>
          <w:color w:val="auto"/>
        </w:rPr>
        <w:t>.</w:t>
      </w:r>
      <w:r w:rsidR="009E66AF" w:rsidRPr="00686018">
        <w:rPr>
          <w:rFonts w:ascii="Times New Roman" w:hAnsi="Times New Roman" w:cs="Times New Roman"/>
          <w:i w:val="0"/>
          <w:color w:val="auto"/>
        </w:rPr>
        <w:t xml:space="preserve"> Ajuste del modelo modificado de Gompertz para una razón I:S - 2:1.</w:t>
      </w:r>
      <w:bookmarkEnd w:id="311"/>
    </w:p>
    <w:p w:rsidR="009E66AF" w:rsidRPr="00686018" w:rsidRDefault="009E66AF"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471BAF" w:rsidRPr="00686018" w:rsidRDefault="00471BAF" w:rsidP="00A31608">
      <w:pPr>
        <w:jc w:val="both"/>
        <w:rPr>
          <w:rFonts w:ascii="Times New Roman" w:hAnsi="Times New Roman" w:cs="Times New Roman"/>
          <w:sz w:val="18"/>
        </w:rPr>
      </w:pPr>
    </w:p>
    <w:p w:rsidR="00471BAF" w:rsidRPr="00686018" w:rsidRDefault="00471BAF" w:rsidP="00B46DDC">
      <w:pPr>
        <w:jc w:val="center"/>
        <w:rPr>
          <w:rFonts w:ascii="Times New Roman" w:hAnsi="Times New Roman" w:cs="Times New Roman"/>
          <w:sz w:val="18"/>
        </w:rPr>
      </w:pPr>
      <w:r w:rsidRPr="00686018">
        <w:rPr>
          <w:rFonts w:ascii="Times New Roman" w:hAnsi="Times New Roman" w:cs="Times New Roman"/>
          <w:noProof/>
          <w:lang w:eastAsia="es-EC"/>
        </w:rPr>
        <w:drawing>
          <wp:inline distT="0" distB="0" distL="0" distR="0" wp14:anchorId="0746D6D4" wp14:editId="43AC3AEA">
            <wp:extent cx="4699591" cy="3327403"/>
            <wp:effectExtent l="0" t="0" r="635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706514" cy="3332305"/>
                    </a:xfrm>
                    <a:prstGeom prst="rect">
                      <a:avLst/>
                    </a:prstGeom>
                  </pic:spPr>
                </pic:pic>
              </a:graphicData>
            </a:graphic>
          </wp:inline>
        </w:drawing>
      </w:r>
    </w:p>
    <w:p w:rsidR="00471BAF" w:rsidRPr="00686018" w:rsidRDefault="00B639AA" w:rsidP="00B46DDC">
      <w:pPr>
        <w:pStyle w:val="Descripcin"/>
        <w:jc w:val="center"/>
        <w:rPr>
          <w:rFonts w:ascii="Times New Roman" w:hAnsi="Times New Roman" w:cs="Times New Roman"/>
          <w:i w:val="0"/>
          <w:color w:val="auto"/>
        </w:rPr>
      </w:pPr>
      <w:bookmarkStart w:id="312" w:name="_Toc9537896"/>
      <w:r>
        <w:rPr>
          <w:rFonts w:ascii="Times New Roman" w:hAnsi="Times New Roman" w:cs="Times New Roman"/>
          <w:b/>
          <w:i w:val="0"/>
          <w:color w:val="auto"/>
        </w:rPr>
        <w:t>Figura</w:t>
      </w:r>
      <w:r w:rsidR="00471BAF" w:rsidRPr="00686018">
        <w:rPr>
          <w:rFonts w:ascii="Times New Roman" w:hAnsi="Times New Roman" w:cs="Times New Roman"/>
          <w:b/>
          <w:i w:val="0"/>
          <w:color w:val="auto"/>
        </w:rPr>
        <w:t xml:space="preserve"> </w:t>
      </w:r>
      <w:r w:rsidR="00471BAF" w:rsidRPr="00686018">
        <w:rPr>
          <w:rFonts w:ascii="Times New Roman" w:hAnsi="Times New Roman" w:cs="Times New Roman"/>
          <w:b/>
          <w:i w:val="0"/>
          <w:color w:val="auto"/>
        </w:rPr>
        <w:fldChar w:fldCharType="begin"/>
      </w:r>
      <w:r w:rsidR="00471BAF" w:rsidRPr="00686018">
        <w:rPr>
          <w:rFonts w:ascii="Times New Roman" w:hAnsi="Times New Roman" w:cs="Times New Roman"/>
          <w:b/>
          <w:i w:val="0"/>
          <w:color w:val="auto"/>
        </w:rPr>
        <w:instrText xml:space="preserve"> SEQ Figure \* ARABIC </w:instrText>
      </w:r>
      <w:r w:rsidR="00471BAF"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28</w:t>
      </w:r>
      <w:r w:rsidR="00471BAF" w:rsidRPr="00686018">
        <w:rPr>
          <w:rFonts w:ascii="Times New Roman" w:hAnsi="Times New Roman" w:cs="Times New Roman"/>
          <w:b/>
          <w:i w:val="0"/>
          <w:color w:val="auto"/>
        </w:rPr>
        <w:fldChar w:fldCharType="end"/>
      </w:r>
      <w:r w:rsidR="00471BAF" w:rsidRPr="00686018">
        <w:rPr>
          <w:rFonts w:ascii="Times New Roman" w:hAnsi="Times New Roman" w:cs="Times New Roman"/>
          <w:b/>
          <w:i w:val="0"/>
          <w:color w:val="auto"/>
        </w:rPr>
        <w:t>.</w:t>
      </w:r>
      <w:r w:rsidR="00471BAF" w:rsidRPr="00686018">
        <w:rPr>
          <w:rFonts w:ascii="Times New Roman" w:hAnsi="Times New Roman" w:cs="Times New Roman"/>
          <w:i w:val="0"/>
          <w:color w:val="auto"/>
        </w:rPr>
        <w:t xml:space="preserve"> Ajuste del modelo modificado de Gompertz para una razón I:S - 1:1.</w:t>
      </w:r>
      <w:bookmarkEnd w:id="312"/>
    </w:p>
    <w:p w:rsidR="00471BAF" w:rsidRPr="00686018" w:rsidRDefault="00471BAF"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471BAF" w:rsidRPr="00686018" w:rsidRDefault="00471BAF" w:rsidP="00B46DDC">
      <w:pPr>
        <w:jc w:val="center"/>
        <w:rPr>
          <w:rFonts w:ascii="Times New Roman" w:hAnsi="Times New Roman" w:cs="Times New Roman"/>
          <w:sz w:val="18"/>
        </w:rPr>
      </w:pPr>
      <w:r w:rsidRPr="00686018">
        <w:rPr>
          <w:rFonts w:ascii="Times New Roman" w:hAnsi="Times New Roman" w:cs="Times New Roman"/>
          <w:noProof/>
          <w:lang w:eastAsia="es-EC"/>
        </w:rPr>
        <w:lastRenderedPageBreak/>
        <w:drawing>
          <wp:inline distT="0" distB="0" distL="0" distR="0" wp14:anchorId="415CE9D1" wp14:editId="2482C35B">
            <wp:extent cx="5009043" cy="3530009"/>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20144" cy="3537832"/>
                    </a:xfrm>
                    <a:prstGeom prst="rect">
                      <a:avLst/>
                    </a:prstGeom>
                  </pic:spPr>
                </pic:pic>
              </a:graphicData>
            </a:graphic>
          </wp:inline>
        </w:drawing>
      </w:r>
    </w:p>
    <w:p w:rsidR="00AB38DC" w:rsidRPr="00686018" w:rsidRDefault="00B639AA" w:rsidP="00B46DDC">
      <w:pPr>
        <w:pStyle w:val="Descripcin"/>
        <w:jc w:val="center"/>
        <w:rPr>
          <w:rFonts w:ascii="Times New Roman" w:hAnsi="Times New Roman" w:cs="Times New Roman"/>
          <w:i w:val="0"/>
          <w:color w:val="auto"/>
        </w:rPr>
      </w:pPr>
      <w:bookmarkStart w:id="313" w:name="_Toc9537897"/>
      <w:r>
        <w:rPr>
          <w:rFonts w:ascii="Times New Roman" w:hAnsi="Times New Roman" w:cs="Times New Roman"/>
          <w:b/>
          <w:i w:val="0"/>
          <w:color w:val="auto"/>
        </w:rPr>
        <w:t>Figura</w:t>
      </w:r>
      <w:r w:rsidR="00AB38DC" w:rsidRPr="00686018">
        <w:rPr>
          <w:rFonts w:ascii="Times New Roman" w:hAnsi="Times New Roman" w:cs="Times New Roman"/>
          <w:b/>
          <w:i w:val="0"/>
          <w:color w:val="auto"/>
        </w:rPr>
        <w:t xml:space="preserve"> </w:t>
      </w:r>
      <w:r w:rsidR="00AB38DC" w:rsidRPr="00686018">
        <w:rPr>
          <w:rFonts w:ascii="Times New Roman" w:hAnsi="Times New Roman" w:cs="Times New Roman"/>
          <w:b/>
          <w:i w:val="0"/>
          <w:color w:val="auto"/>
        </w:rPr>
        <w:fldChar w:fldCharType="begin"/>
      </w:r>
      <w:r w:rsidR="00AB38DC" w:rsidRPr="00686018">
        <w:rPr>
          <w:rFonts w:ascii="Times New Roman" w:hAnsi="Times New Roman" w:cs="Times New Roman"/>
          <w:b/>
          <w:i w:val="0"/>
          <w:color w:val="auto"/>
        </w:rPr>
        <w:instrText xml:space="preserve"> SEQ Figure \* ARABIC </w:instrText>
      </w:r>
      <w:r w:rsidR="00AB38DC"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29</w:t>
      </w:r>
      <w:r w:rsidR="00AB38DC" w:rsidRPr="00686018">
        <w:rPr>
          <w:rFonts w:ascii="Times New Roman" w:hAnsi="Times New Roman" w:cs="Times New Roman"/>
          <w:b/>
          <w:i w:val="0"/>
          <w:color w:val="auto"/>
        </w:rPr>
        <w:fldChar w:fldCharType="end"/>
      </w:r>
      <w:r w:rsidR="00AB38DC" w:rsidRPr="00686018">
        <w:rPr>
          <w:rFonts w:ascii="Times New Roman" w:hAnsi="Times New Roman" w:cs="Times New Roman"/>
          <w:b/>
          <w:i w:val="0"/>
          <w:color w:val="auto"/>
        </w:rPr>
        <w:t>.</w:t>
      </w:r>
      <w:r w:rsidR="00AB38DC" w:rsidRPr="00686018">
        <w:rPr>
          <w:rFonts w:ascii="Times New Roman" w:hAnsi="Times New Roman" w:cs="Times New Roman"/>
          <w:i w:val="0"/>
          <w:color w:val="auto"/>
        </w:rPr>
        <w:t xml:space="preserve"> Ajuste del modelo de Transferencia para una razón I:S - 1:2.</w:t>
      </w:r>
      <w:bookmarkEnd w:id="313"/>
    </w:p>
    <w:p w:rsidR="00AB38DC" w:rsidRPr="00686018" w:rsidRDefault="00AB38DC"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471BAF" w:rsidRPr="00686018" w:rsidRDefault="00471BAF" w:rsidP="00A31608">
      <w:pPr>
        <w:jc w:val="both"/>
        <w:rPr>
          <w:rFonts w:ascii="Times New Roman" w:hAnsi="Times New Roman" w:cs="Times New Roman"/>
          <w:sz w:val="18"/>
        </w:rPr>
      </w:pPr>
    </w:p>
    <w:p w:rsidR="009E66AF" w:rsidRPr="00686018" w:rsidRDefault="00AB38DC" w:rsidP="00B46DDC">
      <w:pPr>
        <w:jc w:val="center"/>
        <w:rPr>
          <w:rFonts w:ascii="Times New Roman" w:hAnsi="Times New Roman" w:cs="Times New Roman"/>
        </w:rPr>
      </w:pPr>
      <w:r w:rsidRPr="00686018">
        <w:rPr>
          <w:rFonts w:ascii="Times New Roman" w:hAnsi="Times New Roman" w:cs="Times New Roman"/>
          <w:noProof/>
          <w:lang w:eastAsia="es-EC"/>
        </w:rPr>
        <w:drawing>
          <wp:inline distT="0" distB="0" distL="0" distR="0" wp14:anchorId="478D3806" wp14:editId="0FAB2057">
            <wp:extent cx="5028314" cy="3519939"/>
            <wp:effectExtent l="0" t="0" r="127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36578" cy="3525724"/>
                    </a:xfrm>
                    <a:prstGeom prst="rect">
                      <a:avLst/>
                    </a:prstGeom>
                  </pic:spPr>
                </pic:pic>
              </a:graphicData>
            </a:graphic>
          </wp:inline>
        </w:drawing>
      </w:r>
    </w:p>
    <w:p w:rsidR="00CB7F36" w:rsidRPr="00686018" w:rsidRDefault="00B639AA" w:rsidP="00B46DDC">
      <w:pPr>
        <w:pStyle w:val="Descripcin"/>
        <w:jc w:val="center"/>
        <w:rPr>
          <w:rFonts w:ascii="Times New Roman" w:hAnsi="Times New Roman" w:cs="Times New Roman"/>
          <w:i w:val="0"/>
          <w:color w:val="auto"/>
        </w:rPr>
      </w:pPr>
      <w:bookmarkStart w:id="314" w:name="_Toc9537898"/>
      <w:r>
        <w:rPr>
          <w:rFonts w:ascii="Times New Roman" w:hAnsi="Times New Roman" w:cs="Times New Roman"/>
          <w:b/>
          <w:i w:val="0"/>
          <w:color w:val="auto"/>
        </w:rPr>
        <w:t>Figura</w:t>
      </w:r>
      <w:r w:rsidR="00CB7F36" w:rsidRPr="00686018">
        <w:rPr>
          <w:rFonts w:ascii="Times New Roman" w:hAnsi="Times New Roman" w:cs="Times New Roman"/>
          <w:b/>
          <w:i w:val="0"/>
          <w:color w:val="auto"/>
        </w:rPr>
        <w:t xml:space="preserve"> </w:t>
      </w:r>
      <w:r w:rsidR="00CB7F36" w:rsidRPr="00686018">
        <w:rPr>
          <w:rFonts w:ascii="Times New Roman" w:hAnsi="Times New Roman" w:cs="Times New Roman"/>
          <w:b/>
          <w:i w:val="0"/>
          <w:color w:val="auto"/>
        </w:rPr>
        <w:fldChar w:fldCharType="begin"/>
      </w:r>
      <w:r w:rsidR="00CB7F36" w:rsidRPr="00686018">
        <w:rPr>
          <w:rFonts w:ascii="Times New Roman" w:hAnsi="Times New Roman" w:cs="Times New Roman"/>
          <w:b/>
          <w:i w:val="0"/>
          <w:color w:val="auto"/>
        </w:rPr>
        <w:instrText xml:space="preserve"> SEQ Figure \* ARABIC </w:instrText>
      </w:r>
      <w:r w:rsidR="00CB7F36"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30</w:t>
      </w:r>
      <w:r w:rsidR="00CB7F36" w:rsidRPr="00686018">
        <w:rPr>
          <w:rFonts w:ascii="Times New Roman" w:hAnsi="Times New Roman" w:cs="Times New Roman"/>
          <w:b/>
          <w:i w:val="0"/>
          <w:color w:val="auto"/>
        </w:rPr>
        <w:fldChar w:fldCharType="end"/>
      </w:r>
      <w:r w:rsidR="00CB7F36" w:rsidRPr="00686018">
        <w:rPr>
          <w:rFonts w:ascii="Times New Roman" w:hAnsi="Times New Roman" w:cs="Times New Roman"/>
          <w:i w:val="0"/>
          <w:color w:val="auto"/>
        </w:rPr>
        <w:t xml:space="preserve">. Ajuste del modelo </w:t>
      </w:r>
      <w:r w:rsidR="00232027" w:rsidRPr="00686018">
        <w:rPr>
          <w:rFonts w:ascii="Times New Roman" w:hAnsi="Times New Roman" w:cs="Times New Roman"/>
          <w:i w:val="0"/>
          <w:color w:val="auto"/>
        </w:rPr>
        <w:t xml:space="preserve">de Primer Orden </w:t>
      </w:r>
      <w:r w:rsidR="00CB7F36" w:rsidRPr="00686018">
        <w:rPr>
          <w:rFonts w:ascii="Times New Roman" w:hAnsi="Times New Roman" w:cs="Times New Roman"/>
          <w:i w:val="0"/>
          <w:color w:val="auto"/>
        </w:rPr>
        <w:t>para una razón I:S - 2:1.</w:t>
      </w:r>
      <w:bookmarkEnd w:id="314"/>
    </w:p>
    <w:p w:rsidR="00CB7F36" w:rsidRPr="00686018" w:rsidRDefault="00CB7F36"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CB7F36" w:rsidRPr="00686018" w:rsidRDefault="00AB38DC" w:rsidP="00B46DDC">
      <w:pPr>
        <w:jc w:val="center"/>
        <w:rPr>
          <w:rFonts w:ascii="Times New Roman" w:hAnsi="Times New Roman" w:cs="Times New Roman"/>
        </w:rPr>
      </w:pPr>
      <w:r w:rsidRPr="00686018">
        <w:rPr>
          <w:rFonts w:ascii="Times New Roman" w:hAnsi="Times New Roman" w:cs="Times New Roman"/>
          <w:noProof/>
          <w:lang w:eastAsia="es-EC"/>
        </w:rPr>
        <w:lastRenderedPageBreak/>
        <w:drawing>
          <wp:inline distT="0" distB="0" distL="0" distR="0" wp14:anchorId="33045B22" wp14:editId="492903AA">
            <wp:extent cx="5182402" cy="3636335"/>
            <wp:effectExtent l="0" t="0" r="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183903" cy="3637388"/>
                    </a:xfrm>
                    <a:prstGeom prst="rect">
                      <a:avLst/>
                    </a:prstGeom>
                  </pic:spPr>
                </pic:pic>
              </a:graphicData>
            </a:graphic>
          </wp:inline>
        </w:drawing>
      </w:r>
    </w:p>
    <w:p w:rsidR="00232027" w:rsidRPr="00686018" w:rsidRDefault="00B639AA" w:rsidP="00B46DDC">
      <w:pPr>
        <w:pStyle w:val="Descripcin"/>
        <w:jc w:val="center"/>
        <w:rPr>
          <w:rFonts w:ascii="Times New Roman" w:hAnsi="Times New Roman" w:cs="Times New Roman"/>
          <w:i w:val="0"/>
          <w:color w:val="auto"/>
        </w:rPr>
      </w:pPr>
      <w:bookmarkStart w:id="315" w:name="_Toc9537899"/>
      <w:r>
        <w:rPr>
          <w:rFonts w:ascii="Times New Roman" w:hAnsi="Times New Roman" w:cs="Times New Roman"/>
          <w:b/>
          <w:i w:val="0"/>
          <w:color w:val="auto"/>
        </w:rPr>
        <w:t>Figura</w:t>
      </w:r>
      <w:r w:rsidR="00232027" w:rsidRPr="00686018">
        <w:rPr>
          <w:rFonts w:ascii="Times New Roman" w:hAnsi="Times New Roman" w:cs="Times New Roman"/>
          <w:b/>
          <w:i w:val="0"/>
          <w:color w:val="auto"/>
        </w:rPr>
        <w:t xml:space="preserve"> </w:t>
      </w:r>
      <w:r w:rsidR="00232027" w:rsidRPr="00686018">
        <w:rPr>
          <w:rFonts w:ascii="Times New Roman" w:hAnsi="Times New Roman" w:cs="Times New Roman"/>
          <w:b/>
          <w:i w:val="0"/>
          <w:color w:val="auto"/>
        </w:rPr>
        <w:fldChar w:fldCharType="begin"/>
      </w:r>
      <w:r w:rsidR="00232027" w:rsidRPr="00686018">
        <w:rPr>
          <w:rFonts w:ascii="Times New Roman" w:hAnsi="Times New Roman" w:cs="Times New Roman"/>
          <w:b/>
          <w:i w:val="0"/>
          <w:color w:val="auto"/>
        </w:rPr>
        <w:instrText xml:space="preserve"> SEQ Figure \* ARABIC </w:instrText>
      </w:r>
      <w:r w:rsidR="00232027"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31</w:t>
      </w:r>
      <w:r w:rsidR="00232027" w:rsidRPr="00686018">
        <w:rPr>
          <w:rFonts w:ascii="Times New Roman" w:hAnsi="Times New Roman" w:cs="Times New Roman"/>
          <w:b/>
          <w:i w:val="0"/>
          <w:color w:val="auto"/>
        </w:rPr>
        <w:fldChar w:fldCharType="end"/>
      </w:r>
      <w:r w:rsidR="00232027" w:rsidRPr="00686018">
        <w:rPr>
          <w:rFonts w:ascii="Times New Roman" w:hAnsi="Times New Roman" w:cs="Times New Roman"/>
          <w:b/>
          <w:i w:val="0"/>
          <w:color w:val="auto"/>
        </w:rPr>
        <w:t>.</w:t>
      </w:r>
      <w:r w:rsidR="00232027" w:rsidRPr="00686018">
        <w:rPr>
          <w:rFonts w:ascii="Times New Roman" w:hAnsi="Times New Roman" w:cs="Times New Roman"/>
          <w:i w:val="0"/>
          <w:color w:val="auto"/>
        </w:rPr>
        <w:t xml:space="preserve"> Ajuste del modelo de Primer </w:t>
      </w:r>
      <w:r w:rsidR="00CC3CB7" w:rsidRPr="00686018">
        <w:rPr>
          <w:rFonts w:ascii="Times New Roman" w:hAnsi="Times New Roman" w:cs="Times New Roman"/>
          <w:i w:val="0"/>
          <w:color w:val="auto"/>
        </w:rPr>
        <w:t>Orden para</w:t>
      </w:r>
      <w:r w:rsidR="00232027" w:rsidRPr="00686018">
        <w:rPr>
          <w:rFonts w:ascii="Times New Roman" w:hAnsi="Times New Roman" w:cs="Times New Roman"/>
          <w:i w:val="0"/>
          <w:color w:val="auto"/>
        </w:rPr>
        <w:t xml:space="preserve"> una razón I:S - 1:1</w:t>
      </w:r>
      <w:bookmarkEnd w:id="315"/>
    </w:p>
    <w:p w:rsidR="00232027" w:rsidRPr="00686018" w:rsidRDefault="00232027"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232027" w:rsidRPr="00686018" w:rsidRDefault="00C41169" w:rsidP="00B46DDC">
      <w:pPr>
        <w:jc w:val="center"/>
        <w:rPr>
          <w:rFonts w:ascii="Times New Roman" w:hAnsi="Times New Roman" w:cs="Times New Roman"/>
        </w:rPr>
      </w:pPr>
      <w:r w:rsidRPr="00686018">
        <w:rPr>
          <w:rFonts w:ascii="Times New Roman" w:hAnsi="Times New Roman" w:cs="Times New Roman"/>
          <w:noProof/>
          <w:lang w:eastAsia="es-EC"/>
        </w:rPr>
        <w:drawing>
          <wp:inline distT="0" distB="0" distL="0" distR="0" wp14:anchorId="457E6234" wp14:editId="1C8A4FBE">
            <wp:extent cx="5135526" cy="3654775"/>
            <wp:effectExtent l="0" t="0" r="8255"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37004" cy="3655827"/>
                    </a:xfrm>
                    <a:prstGeom prst="rect">
                      <a:avLst/>
                    </a:prstGeom>
                  </pic:spPr>
                </pic:pic>
              </a:graphicData>
            </a:graphic>
          </wp:inline>
        </w:drawing>
      </w:r>
    </w:p>
    <w:p w:rsidR="007E48E8" w:rsidRPr="00686018" w:rsidRDefault="00B639AA" w:rsidP="00B46DDC">
      <w:pPr>
        <w:pStyle w:val="Descripcin"/>
        <w:jc w:val="center"/>
        <w:rPr>
          <w:rFonts w:ascii="Times New Roman" w:hAnsi="Times New Roman" w:cs="Times New Roman"/>
          <w:i w:val="0"/>
          <w:color w:val="auto"/>
        </w:rPr>
      </w:pPr>
      <w:bookmarkStart w:id="316" w:name="_Toc9537900"/>
      <w:r>
        <w:rPr>
          <w:rFonts w:ascii="Times New Roman" w:hAnsi="Times New Roman" w:cs="Times New Roman"/>
          <w:b/>
          <w:i w:val="0"/>
          <w:color w:val="auto"/>
        </w:rPr>
        <w:t>Figura</w:t>
      </w:r>
      <w:r w:rsidR="007E48E8" w:rsidRPr="00686018">
        <w:rPr>
          <w:rFonts w:ascii="Times New Roman" w:hAnsi="Times New Roman" w:cs="Times New Roman"/>
          <w:b/>
          <w:i w:val="0"/>
          <w:color w:val="auto"/>
        </w:rPr>
        <w:t xml:space="preserve"> </w:t>
      </w:r>
      <w:r w:rsidR="007E48E8" w:rsidRPr="00686018">
        <w:rPr>
          <w:rFonts w:ascii="Times New Roman" w:hAnsi="Times New Roman" w:cs="Times New Roman"/>
          <w:b/>
          <w:i w:val="0"/>
          <w:color w:val="auto"/>
        </w:rPr>
        <w:fldChar w:fldCharType="begin"/>
      </w:r>
      <w:r w:rsidR="007E48E8" w:rsidRPr="00686018">
        <w:rPr>
          <w:rFonts w:ascii="Times New Roman" w:hAnsi="Times New Roman" w:cs="Times New Roman"/>
          <w:b/>
          <w:i w:val="0"/>
          <w:color w:val="auto"/>
        </w:rPr>
        <w:instrText xml:space="preserve"> SEQ Figure \* ARABIC </w:instrText>
      </w:r>
      <w:r w:rsidR="007E48E8"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32</w:t>
      </w:r>
      <w:r w:rsidR="007E48E8" w:rsidRPr="00686018">
        <w:rPr>
          <w:rFonts w:ascii="Times New Roman" w:hAnsi="Times New Roman" w:cs="Times New Roman"/>
          <w:b/>
          <w:i w:val="0"/>
          <w:color w:val="auto"/>
        </w:rPr>
        <w:fldChar w:fldCharType="end"/>
      </w:r>
      <w:r w:rsidR="007E48E8" w:rsidRPr="00686018">
        <w:rPr>
          <w:rFonts w:ascii="Times New Roman" w:hAnsi="Times New Roman" w:cs="Times New Roman"/>
          <w:b/>
          <w:i w:val="0"/>
          <w:color w:val="auto"/>
        </w:rPr>
        <w:t>.</w:t>
      </w:r>
      <w:r w:rsidR="007E48E8" w:rsidRPr="00686018">
        <w:rPr>
          <w:rFonts w:ascii="Times New Roman" w:hAnsi="Times New Roman" w:cs="Times New Roman"/>
          <w:i w:val="0"/>
          <w:color w:val="auto"/>
        </w:rPr>
        <w:t xml:space="preserve"> Ajuste del m</w:t>
      </w:r>
      <w:r w:rsidR="00993441" w:rsidRPr="00686018">
        <w:rPr>
          <w:rFonts w:ascii="Times New Roman" w:hAnsi="Times New Roman" w:cs="Times New Roman"/>
          <w:i w:val="0"/>
          <w:color w:val="auto"/>
        </w:rPr>
        <w:t xml:space="preserve">odelo de Primer Orden </w:t>
      </w:r>
      <w:r w:rsidR="007E48E8" w:rsidRPr="00686018">
        <w:rPr>
          <w:rFonts w:ascii="Times New Roman" w:hAnsi="Times New Roman" w:cs="Times New Roman"/>
          <w:i w:val="0"/>
          <w:color w:val="auto"/>
        </w:rPr>
        <w:t>para una razón I:S - 1:2</w:t>
      </w:r>
      <w:bookmarkEnd w:id="316"/>
    </w:p>
    <w:p w:rsidR="007E48E8" w:rsidRPr="00686018" w:rsidRDefault="007E48E8"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7E48E8" w:rsidRPr="00686018" w:rsidRDefault="00E13568" w:rsidP="00B46DDC">
      <w:pPr>
        <w:jc w:val="center"/>
        <w:rPr>
          <w:rFonts w:ascii="Times New Roman" w:hAnsi="Times New Roman" w:cs="Times New Roman"/>
        </w:rPr>
      </w:pPr>
      <w:r w:rsidRPr="00686018">
        <w:rPr>
          <w:rFonts w:ascii="Times New Roman" w:hAnsi="Times New Roman" w:cs="Times New Roman"/>
          <w:noProof/>
          <w:lang w:eastAsia="es-EC"/>
        </w:rPr>
        <w:lastRenderedPageBreak/>
        <w:drawing>
          <wp:inline distT="0" distB="0" distL="0" distR="0" wp14:anchorId="0121E041" wp14:editId="0BA4C1E2">
            <wp:extent cx="5400040" cy="3763010"/>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3763010"/>
                    </a:xfrm>
                    <a:prstGeom prst="rect">
                      <a:avLst/>
                    </a:prstGeom>
                  </pic:spPr>
                </pic:pic>
              </a:graphicData>
            </a:graphic>
          </wp:inline>
        </w:drawing>
      </w:r>
    </w:p>
    <w:p w:rsidR="009E66AF" w:rsidRPr="00686018" w:rsidRDefault="00B639AA" w:rsidP="00B46DDC">
      <w:pPr>
        <w:pStyle w:val="Descripcin"/>
        <w:jc w:val="center"/>
        <w:rPr>
          <w:rFonts w:ascii="Times New Roman" w:hAnsi="Times New Roman" w:cs="Times New Roman"/>
          <w:i w:val="0"/>
          <w:color w:val="auto"/>
        </w:rPr>
      </w:pPr>
      <w:bookmarkStart w:id="317" w:name="_Toc9537901"/>
      <w:r>
        <w:rPr>
          <w:rFonts w:ascii="Times New Roman" w:hAnsi="Times New Roman" w:cs="Times New Roman"/>
          <w:b/>
          <w:i w:val="0"/>
          <w:color w:val="auto"/>
        </w:rPr>
        <w:t>Figura</w:t>
      </w:r>
      <w:r w:rsidR="00E13568" w:rsidRPr="00686018">
        <w:rPr>
          <w:rFonts w:ascii="Times New Roman" w:hAnsi="Times New Roman" w:cs="Times New Roman"/>
          <w:b/>
          <w:i w:val="0"/>
          <w:color w:val="auto"/>
        </w:rPr>
        <w:t xml:space="preserve"> </w:t>
      </w:r>
      <w:r w:rsidR="00E13568" w:rsidRPr="00686018">
        <w:rPr>
          <w:rFonts w:ascii="Times New Roman" w:hAnsi="Times New Roman" w:cs="Times New Roman"/>
          <w:b/>
          <w:i w:val="0"/>
          <w:color w:val="auto"/>
        </w:rPr>
        <w:fldChar w:fldCharType="begin"/>
      </w:r>
      <w:r w:rsidR="00E13568" w:rsidRPr="00686018">
        <w:rPr>
          <w:rFonts w:ascii="Times New Roman" w:hAnsi="Times New Roman" w:cs="Times New Roman"/>
          <w:b/>
          <w:i w:val="0"/>
          <w:color w:val="auto"/>
        </w:rPr>
        <w:instrText xml:space="preserve"> SEQ Figure \* ARABIC </w:instrText>
      </w:r>
      <w:r w:rsidR="00E13568"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33</w:t>
      </w:r>
      <w:r w:rsidR="00E13568" w:rsidRPr="00686018">
        <w:rPr>
          <w:rFonts w:ascii="Times New Roman" w:hAnsi="Times New Roman" w:cs="Times New Roman"/>
          <w:b/>
          <w:i w:val="0"/>
          <w:color w:val="auto"/>
        </w:rPr>
        <w:fldChar w:fldCharType="end"/>
      </w:r>
      <w:r w:rsidR="00E13568" w:rsidRPr="00686018">
        <w:rPr>
          <w:rFonts w:ascii="Times New Roman" w:hAnsi="Times New Roman" w:cs="Times New Roman"/>
          <w:b/>
          <w:i w:val="0"/>
          <w:color w:val="auto"/>
        </w:rPr>
        <w:t>.</w:t>
      </w:r>
      <w:r w:rsidR="00E13568" w:rsidRPr="00686018">
        <w:rPr>
          <w:rFonts w:ascii="Times New Roman" w:hAnsi="Times New Roman" w:cs="Times New Roman"/>
          <w:i w:val="0"/>
          <w:color w:val="auto"/>
        </w:rPr>
        <w:t xml:space="preserve"> Ajuste del modelo del Cono para una razón I:S -2:1</w:t>
      </w:r>
      <w:bookmarkEnd w:id="317"/>
    </w:p>
    <w:p w:rsidR="00E13568" w:rsidRPr="00686018" w:rsidRDefault="00E13568"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E13568" w:rsidRPr="00686018" w:rsidRDefault="00E13568" w:rsidP="00B46DDC">
      <w:pPr>
        <w:jc w:val="center"/>
        <w:rPr>
          <w:rFonts w:ascii="Times New Roman" w:hAnsi="Times New Roman" w:cs="Times New Roman"/>
          <w:sz w:val="18"/>
        </w:rPr>
      </w:pPr>
      <w:r w:rsidRPr="00686018">
        <w:rPr>
          <w:rFonts w:ascii="Times New Roman" w:hAnsi="Times New Roman" w:cs="Times New Roman"/>
          <w:noProof/>
          <w:lang w:eastAsia="es-EC"/>
        </w:rPr>
        <w:drawing>
          <wp:inline distT="0" distB="0" distL="0" distR="0" wp14:anchorId="4AAEAB48" wp14:editId="29EDC6A2">
            <wp:extent cx="5061098" cy="3517296"/>
            <wp:effectExtent l="0" t="0" r="635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61994" cy="3517919"/>
                    </a:xfrm>
                    <a:prstGeom prst="rect">
                      <a:avLst/>
                    </a:prstGeom>
                  </pic:spPr>
                </pic:pic>
              </a:graphicData>
            </a:graphic>
          </wp:inline>
        </w:drawing>
      </w:r>
    </w:p>
    <w:p w:rsidR="00E13568" w:rsidRPr="00686018" w:rsidRDefault="00B639AA" w:rsidP="00B46DDC">
      <w:pPr>
        <w:pStyle w:val="Descripcin"/>
        <w:jc w:val="center"/>
        <w:rPr>
          <w:rFonts w:ascii="Times New Roman" w:hAnsi="Times New Roman" w:cs="Times New Roman"/>
          <w:i w:val="0"/>
          <w:color w:val="auto"/>
        </w:rPr>
      </w:pPr>
      <w:bookmarkStart w:id="318" w:name="_Toc9537902"/>
      <w:r>
        <w:rPr>
          <w:rFonts w:ascii="Times New Roman" w:hAnsi="Times New Roman" w:cs="Times New Roman"/>
          <w:b/>
          <w:i w:val="0"/>
          <w:color w:val="auto"/>
        </w:rPr>
        <w:t>Figura</w:t>
      </w:r>
      <w:r w:rsidR="00E13568" w:rsidRPr="00686018">
        <w:rPr>
          <w:rFonts w:ascii="Times New Roman" w:hAnsi="Times New Roman" w:cs="Times New Roman"/>
          <w:b/>
          <w:i w:val="0"/>
          <w:color w:val="auto"/>
        </w:rPr>
        <w:t xml:space="preserve"> </w:t>
      </w:r>
      <w:r w:rsidR="00E13568" w:rsidRPr="00686018">
        <w:rPr>
          <w:rFonts w:ascii="Times New Roman" w:hAnsi="Times New Roman" w:cs="Times New Roman"/>
          <w:b/>
          <w:i w:val="0"/>
          <w:color w:val="auto"/>
        </w:rPr>
        <w:fldChar w:fldCharType="begin"/>
      </w:r>
      <w:r w:rsidR="00E13568" w:rsidRPr="00686018">
        <w:rPr>
          <w:rFonts w:ascii="Times New Roman" w:hAnsi="Times New Roman" w:cs="Times New Roman"/>
          <w:b/>
          <w:i w:val="0"/>
          <w:color w:val="auto"/>
        </w:rPr>
        <w:instrText xml:space="preserve"> SEQ Figure \* ARABIC </w:instrText>
      </w:r>
      <w:r w:rsidR="00E13568"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34</w:t>
      </w:r>
      <w:r w:rsidR="00E13568" w:rsidRPr="00686018">
        <w:rPr>
          <w:rFonts w:ascii="Times New Roman" w:hAnsi="Times New Roman" w:cs="Times New Roman"/>
          <w:b/>
          <w:i w:val="0"/>
          <w:color w:val="auto"/>
        </w:rPr>
        <w:fldChar w:fldCharType="end"/>
      </w:r>
      <w:r w:rsidR="00E13568" w:rsidRPr="00686018">
        <w:rPr>
          <w:rFonts w:ascii="Times New Roman" w:hAnsi="Times New Roman" w:cs="Times New Roman"/>
          <w:b/>
          <w:i w:val="0"/>
          <w:color w:val="auto"/>
        </w:rPr>
        <w:t>.</w:t>
      </w:r>
      <w:r w:rsidR="00E13568" w:rsidRPr="00686018">
        <w:rPr>
          <w:rFonts w:ascii="Times New Roman" w:hAnsi="Times New Roman" w:cs="Times New Roman"/>
          <w:i w:val="0"/>
          <w:color w:val="auto"/>
        </w:rPr>
        <w:t xml:space="preserve"> Ajuste del modelo del Cono para una razón I:S -1:1</w:t>
      </w:r>
      <w:bookmarkEnd w:id="318"/>
    </w:p>
    <w:p w:rsidR="00E13568" w:rsidRPr="00686018" w:rsidRDefault="00E13568"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E13568" w:rsidRPr="00686018" w:rsidRDefault="00E13568" w:rsidP="00B46DDC">
      <w:pPr>
        <w:jc w:val="center"/>
        <w:rPr>
          <w:rFonts w:ascii="Times New Roman" w:hAnsi="Times New Roman" w:cs="Times New Roman"/>
          <w:sz w:val="18"/>
        </w:rPr>
      </w:pPr>
      <w:r w:rsidRPr="00686018">
        <w:rPr>
          <w:rFonts w:ascii="Times New Roman" w:hAnsi="Times New Roman" w:cs="Times New Roman"/>
          <w:noProof/>
          <w:lang w:eastAsia="es-EC"/>
        </w:rPr>
        <w:lastRenderedPageBreak/>
        <w:drawing>
          <wp:inline distT="0" distB="0" distL="0" distR="0" wp14:anchorId="21E9EC00" wp14:editId="260F89DA">
            <wp:extent cx="5400040" cy="3784600"/>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3784600"/>
                    </a:xfrm>
                    <a:prstGeom prst="rect">
                      <a:avLst/>
                    </a:prstGeom>
                  </pic:spPr>
                </pic:pic>
              </a:graphicData>
            </a:graphic>
          </wp:inline>
        </w:drawing>
      </w:r>
    </w:p>
    <w:p w:rsidR="00E13568" w:rsidRPr="00686018" w:rsidRDefault="00B639AA" w:rsidP="00B46DDC">
      <w:pPr>
        <w:pStyle w:val="Descripcin"/>
        <w:jc w:val="center"/>
        <w:rPr>
          <w:rFonts w:ascii="Times New Roman" w:hAnsi="Times New Roman" w:cs="Times New Roman"/>
          <w:i w:val="0"/>
          <w:color w:val="auto"/>
        </w:rPr>
      </w:pPr>
      <w:bookmarkStart w:id="319" w:name="_Toc9537903"/>
      <w:r>
        <w:rPr>
          <w:rFonts w:ascii="Times New Roman" w:hAnsi="Times New Roman" w:cs="Times New Roman"/>
          <w:b/>
          <w:i w:val="0"/>
          <w:color w:val="auto"/>
        </w:rPr>
        <w:t>Figura</w:t>
      </w:r>
      <w:r w:rsidR="00E13568" w:rsidRPr="00686018">
        <w:rPr>
          <w:rFonts w:ascii="Times New Roman" w:hAnsi="Times New Roman" w:cs="Times New Roman"/>
          <w:b/>
          <w:i w:val="0"/>
          <w:color w:val="auto"/>
        </w:rPr>
        <w:t xml:space="preserve"> </w:t>
      </w:r>
      <w:r w:rsidR="00E13568" w:rsidRPr="00686018">
        <w:rPr>
          <w:rFonts w:ascii="Times New Roman" w:hAnsi="Times New Roman" w:cs="Times New Roman"/>
          <w:b/>
          <w:i w:val="0"/>
          <w:color w:val="auto"/>
        </w:rPr>
        <w:fldChar w:fldCharType="begin"/>
      </w:r>
      <w:r w:rsidR="00E13568" w:rsidRPr="00686018">
        <w:rPr>
          <w:rFonts w:ascii="Times New Roman" w:hAnsi="Times New Roman" w:cs="Times New Roman"/>
          <w:b/>
          <w:i w:val="0"/>
          <w:color w:val="auto"/>
        </w:rPr>
        <w:instrText xml:space="preserve"> SEQ Figure \* ARABIC </w:instrText>
      </w:r>
      <w:r w:rsidR="00E13568" w:rsidRPr="00686018">
        <w:rPr>
          <w:rFonts w:ascii="Times New Roman" w:hAnsi="Times New Roman" w:cs="Times New Roman"/>
          <w:b/>
          <w:i w:val="0"/>
          <w:color w:val="auto"/>
        </w:rPr>
        <w:fldChar w:fldCharType="separate"/>
      </w:r>
      <w:r w:rsidR="006E31EF">
        <w:rPr>
          <w:rFonts w:ascii="Times New Roman" w:hAnsi="Times New Roman" w:cs="Times New Roman"/>
          <w:b/>
          <w:i w:val="0"/>
          <w:noProof/>
          <w:color w:val="auto"/>
        </w:rPr>
        <w:t>35</w:t>
      </w:r>
      <w:r w:rsidR="00E13568" w:rsidRPr="00686018">
        <w:rPr>
          <w:rFonts w:ascii="Times New Roman" w:hAnsi="Times New Roman" w:cs="Times New Roman"/>
          <w:b/>
          <w:i w:val="0"/>
          <w:color w:val="auto"/>
        </w:rPr>
        <w:fldChar w:fldCharType="end"/>
      </w:r>
      <w:r w:rsidR="00E13568" w:rsidRPr="00686018">
        <w:rPr>
          <w:rFonts w:ascii="Times New Roman" w:hAnsi="Times New Roman" w:cs="Times New Roman"/>
          <w:b/>
          <w:i w:val="0"/>
          <w:color w:val="auto"/>
        </w:rPr>
        <w:t>.</w:t>
      </w:r>
      <w:r w:rsidR="00E13568" w:rsidRPr="00686018">
        <w:rPr>
          <w:rFonts w:ascii="Times New Roman" w:hAnsi="Times New Roman" w:cs="Times New Roman"/>
          <w:i w:val="0"/>
          <w:color w:val="auto"/>
        </w:rPr>
        <w:t xml:space="preserve"> Ajuste del modelo del Cono para una razón I:S -1:2</w:t>
      </w:r>
      <w:bookmarkEnd w:id="319"/>
    </w:p>
    <w:p w:rsidR="00E13568" w:rsidRPr="00686018" w:rsidRDefault="00E13568" w:rsidP="00B46DDC">
      <w:pPr>
        <w:jc w:val="center"/>
        <w:rPr>
          <w:rFonts w:ascii="Times New Roman" w:hAnsi="Times New Roman" w:cs="Times New Roman"/>
          <w:sz w:val="18"/>
        </w:rPr>
      </w:pPr>
      <w:r w:rsidRPr="00686018">
        <w:rPr>
          <w:rFonts w:ascii="Times New Roman" w:hAnsi="Times New Roman" w:cs="Times New Roman"/>
          <w:b/>
          <w:sz w:val="18"/>
        </w:rPr>
        <w:t>Fuente:</w:t>
      </w:r>
      <w:r w:rsidRPr="00686018">
        <w:rPr>
          <w:rFonts w:ascii="Times New Roman" w:hAnsi="Times New Roman" w:cs="Times New Roman"/>
          <w:sz w:val="18"/>
        </w:rPr>
        <w:t xml:space="preserve"> </w:t>
      </w:r>
      <w:r w:rsidR="006D64AB" w:rsidRPr="00686018">
        <w:rPr>
          <w:rFonts w:ascii="Times New Roman" w:hAnsi="Times New Roman" w:cs="Times New Roman"/>
          <w:sz w:val="18"/>
        </w:rPr>
        <w:t>Elaborado por los autores, 2019.</w:t>
      </w:r>
    </w:p>
    <w:p w:rsidR="00E13568" w:rsidRPr="00686018" w:rsidRDefault="00E13568" w:rsidP="00A31608">
      <w:pPr>
        <w:jc w:val="both"/>
        <w:rPr>
          <w:rFonts w:ascii="Times New Roman" w:hAnsi="Times New Roman" w:cs="Times New Roman"/>
        </w:rPr>
      </w:pPr>
    </w:p>
    <w:p w:rsidR="00E13568" w:rsidRPr="00686018" w:rsidRDefault="00E13568" w:rsidP="00A31608">
      <w:pPr>
        <w:jc w:val="both"/>
        <w:rPr>
          <w:rFonts w:ascii="Times New Roman" w:hAnsi="Times New Roman" w:cs="Times New Roman"/>
        </w:rPr>
      </w:pPr>
    </w:p>
    <w:p w:rsidR="00E13568" w:rsidRPr="00686018" w:rsidRDefault="00E13568" w:rsidP="00A31608">
      <w:pPr>
        <w:jc w:val="both"/>
        <w:rPr>
          <w:rFonts w:ascii="Times New Roman" w:hAnsi="Times New Roman" w:cs="Times New Roman"/>
        </w:rPr>
      </w:pPr>
    </w:p>
    <w:sectPr w:rsidR="00E13568" w:rsidRPr="00686018" w:rsidSect="00F954BD">
      <w:pgSz w:w="11906" w:h="16838" w:code="9"/>
      <w:pgMar w:top="1701"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7990" w:rsidRDefault="000B7990" w:rsidP="00386DEF">
      <w:pPr>
        <w:spacing w:after="0" w:line="240" w:lineRule="auto"/>
      </w:pPr>
      <w:r>
        <w:separator/>
      </w:r>
    </w:p>
  </w:endnote>
  <w:endnote w:type="continuationSeparator" w:id="0">
    <w:p w:rsidR="000B7990" w:rsidRDefault="000B7990" w:rsidP="00386D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0D09" w:rsidRDefault="00C80D09">
    <w:pPr>
      <w:pStyle w:val="Piedepgina"/>
      <w:jc w:val="right"/>
    </w:pPr>
  </w:p>
  <w:p w:rsidR="00C80D09" w:rsidRDefault="00C80D09">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258808"/>
      <w:docPartObj>
        <w:docPartGallery w:val="Page Numbers (Bottom of Page)"/>
        <w:docPartUnique/>
      </w:docPartObj>
    </w:sdtPr>
    <w:sdtEndPr/>
    <w:sdtContent>
      <w:p w:rsidR="00C80D09" w:rsidRDefault="00C80D09">
        <w:pPr>
          <w:pStyle w:val="Piedepgina"/>
          <w:jc w:val="right"/>
        </w:pPr>
        <w:r>
          <w:fldChar w:fldCharType="begin"/>
        </w:r>
        <w:r>
          <w:instrText>PAGE   \* MERGEFORMAT</w:instrText>
        </w:r>
        <w:r>
          <w:fldChar w:fldCharType="separate"/>
        </w:r>
        <w:r w:rsidR="00466A2A" w:rsidRPr="00466A2A">
          <w:rPr>
            <w:noProof/>
            <w:lang w:val="es-ES"/>
          </w:rPr>
          <w:t>III</w:t>
        </w:r>
        <w:r>
          <w:fldChar w:fldCharType="end"/>
        </w:r>
      </w:p>
    </w:sdtContent>
  </w:sdt>
  <w:p w:rsidR="00C80D09" w:rsidRDefault="00C80D09">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6923710"/>
      <w:docPartObj>
        <w:docPartGallery w:val="Page Numbers (Bottom of Page)"/>
        <w:docPartUnique/>
      </w:docPartObj>
    </w:sdtPr>
    <w:sdtEndPr/>
    <w:sdtContent>
      <w:p w:rsidR="00C80D09" w:rsidRDefault="00C80D09">
        <w:pPr>
          <w:pStyle w:val="Piedepgina"/>
          <w:jc w:val="right"/>
        </w:pPr>
        <w:r>
          <w:fldChar w:fldCharType="begin"/>
        </w:r>
        <w:r>
          <w:instrText>PAGE   \* MERGEFORMAT</w:instrText>
        </w:r>
        <w:r>
          <w:fldChar w:fldCharType="separate"/>
        </w:r>
        <w:r w:rsidR="00466A2A" w:rsidRPr="00466A2A">
          <w:rPr>
            <w:noProof/>
            <w:lang w:val="es-ES"/>
          </w:rPr>
          <w:t>53</w:t>
        </w:r>
        <w:r>
          <w:fldChar w:fldCharType="end"/>
        </w:r>
      </w:p>
    </w:sdtContent>
  </w:sdt>
  <w:p w:rsidR="00C80D09" w:rsidRDefault="00C80D09">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7990" w:rsidRDefault="000B7990" w:rsidP="00386DEF">
      <w:pPr>
        <w:spacing w:after="0" w:line="240" w:lineRule="auto"/>
      </w:pPr>
      <w:r>
        <w:separator/>
      </w:r>
    </w:p>
  </w:footnote>
  <w:footnote w:type="continuationSeparator" w:id="0">
    <w:p w:rsidR="000B7990" w:rsidRDefault="000B7990" w:rsidP="00386D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F198C"/>
    <w:multiLevelType w:val="hybridMultilevel"/>
    <w:tmpl w:val="8E5275A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BC819AB"/>
    <w:multiLevelType w:val="hybridMultilevel"/>
    <w:tmpl w:val="F3103B6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DBE62E1"/>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E102FDA"/>
    <w:multiLevelType w:val="hybridMultilevel"/>
    <w:tmpl w:val="04FA55E0"/>
    <w:lvl w:ilvl="0" w:tplc="BA968C76">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FA6739B"/>
    <w:multiLevelType w:val="hybridMultilevel"/>
    <w:tmpl w:val="8DE8901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119E7EF9"/>
    <w:multiLevelType w:val="hybridMultilevel"/>
    <w:tmpl w:val="BCE6757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21D0EA2"/>
    <w:multiLevelType w:val="hybridMultilevel"/>
    <w:tmpl w:val="0A967A3C"/>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7" w15:restartNumberingAfterBreak="0">
    <w:nsid w:val="12D408FE"/>
    <w:multiLevelType w:val="hybridMultilevel"/>
    <w:tmpl w:val="459AAE66"/>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8" w15:restartNumberingAfterBreak="0">
    <w:nsid w:val="14007ADA"/>
    <w:multiLevelType w:val="hybridMultilevel"/>
    <w:tmpl w:val="8A22B86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15:restartNumberingAfterBreak="0">
    <w:nsid w:val="1E7236F3"/>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48F3B27"/>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6134D82"/>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73B2D97"/>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C7D0073"/>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4600D72"/>
    <w:multiLevelType w:val="hybridMultilevel"/>
    <w:tmpl w:val="0A26D162"/>
    <w:lvl w:ilvl="0" w:tplc="300A000B">
      <w:start w:val="1"/>
      <w:numFmt w:val="bullet"/>
      <w:lvlText w:val=""/>
      <w:lvlJc w:val="left"/>
      <w:pPr>
        <w:ind w:left="1004" w:hanging="360"/>
      </w:pPr>
      <w:rPr>
        <w:rFonts w:ascii="Wingdings" w:hAnsi="Wingdings"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5" w15:restartNumberingAfterBreak="0">
    <w:nsid w:val="34FA2B58"/>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8A97AB3"/>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9757911"/>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FA6172E"/>
    <w:multiLevelType w:val="hybridMultilevel"/>
    <w:tmpl w:val="E2D8F4B8"/>
    <w:lvl w:ilvl="0" w:tplc="300A000D">
      <w:start w:val="1"/>
      <w:numFmt w:val="bullet"/>
      <w:lvlText w:val=""/>
      <w:lvlJc w:val="left"/>
      <w:pPr>
        <w:ind w:left="1004" w:hanging="360"/>
      </w:pPr>
      <w:rPr>
        <w:rFonts w:ascii="Wingdings" w:hAnsi="Wingdings"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9" w15:restartNumberingAfterBreak="0">
    <w:nsid w:val="400A0FD8"/>
    <w:multiLevelType w:val="multilevel"/>
    <w:tmpl w:val="08A86F4C"/>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0CE5A0F"/>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36D5ED2"/>
    <w:multiLevelType w:val="hybridMultilevel"/>
    <w:tmpl w:val="B37E65E2"/>
    <w:lvl w:ilvl="0" w:tplc="E89C3CA8">
      <w:start w:val="1"/>
      <w:numFmt w:val="decimal"/>
      <w:pStyle w:val="Ttulo2"/>
      <w:lvlText w:val="%1."/>
      <w:lvlJc w:val="left"/>
      <w:pPr>
        <w:ind w:left="1004" w:hanging="360"/>
      </w:pPr>
    </w:lvl>
    <w:lvl w:ilvl="1" w:tplc="300A0019" w:tentative="1">
      <w:start w:val="1"/>
      <w:numFmt w:val="lowerLetter"/>
      <w:lvlText w:val="%2."/>
      <w:lvlJc w:val="left"/>
      <w:pPr>
        <w:ind w:left="1724" w:hanging="360"/>
      </w:pPr>
    </w:lvl>
    <w:lvl w:ilvl="2" w:tplc="300A001B" w:tentative="1">
      <w:start w:val="1"/>
      <w:numFmt w:val="lowerRoman"/>
      <w:lvlText w:val="%3."/>
      <w:lvlJc w:val="right"/>
      <w:pPr>
        <w:ind w:left="2444" w:hanging="180"/>
      </w:pPr>
    </w:lvl>
    <w:lvl w:ilvl="3" w:tplc="300A000F" w:tentative="1">
      <w:start w:val="1"/>
      <w:numFmt w:val="decimal"/>
      <w:lvlText w:val="%4."/>
      <w:lvlJc w:val="left"/>
      <w:pPr>
        <w:ind w:left="3164" w:hanging="360"/>
      </w:pPr>
    </w:lvl>
    <w:lvl w:ilvl="4" w:tplc="300A0019" w:tentative="1">
      <w:start w:val="1"/>
      <w:numFmt w:val="lowerLetter"/>
      <w:lvlText w:val="%5."/>
      <w:lvlJc w:val="left"/>
      <w:pPr>
        <w:ind w:left="3884" w:hanging="360"/>
      </w:pPr>
    </w:lvl>
    <w:lvl w:ilvl="5" w:tplc="300A001B" w:tentative="1">
      <w:start w:val="1"/>
      <w:numFmt w:val="lowerRoman"/>
      <w:lvlText w:val="%6."/>
      <w:lvlJc w:val="right"/>
      <w:pPr>
        <w:ind w:left="4604" w:hanging="180"/>
      </w:pPr>
    </w:lvl>
    <w:lvl w:ilvl="6" w:tplc="300A000F" w:tentative="1">
      <w:start w:val="1"/>
      <w:numFmt w:val="decimal"/>
      <w:lvlText w:val="%7."/>
      <w:lvlJc w:val="left"/>
      <w:pPr>
        <w:ind w:left="5324" w:hanging="360"/>
      </w:pPr>
    </w:lvl>
    <w:lvl w:ilvl="7" w:tplc="300A0019" w:tentative="1">
      <w:start w:val="1"/>
      <w:numFmt w:val="lowerLetter"/>
      <w:lvlText w:val="%8."/>
      <w:lvlJc w:val="left"/>
      <w:pPr>
        <w:ind w:left="6044" w:hanging="360"/>
      </w:pPr>
    </w:lvl>
    <w:lvl w:ilvl="8" w:tplc="300A001B" w:tentative="1">
      <w:start w:val="1"/>
      <w:numFmt w:val="lowerRoman"/>
      <w:lvlText w:val="%9."/>
      <w:lvlJc w:val="right"/>
      <w:pPr>
        <w:ind w:left="6764" w:hanging="180"/>
      </w:pPr>
    </w:lvl>
  </w:abstractNum>
  <w:abstractNum w:abstractNumId="22" w15:restartNumberingAfterBreak="0">
    <w:nsid w:val="46ED2952"/>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8ED6574"/>
    <w:multiLevelType w:val="hybridMultilevel"/>
    <w:tmpl w:val="D08C1F2A"/>
    <w:lvl w:ilvl="0" w:tplc="ACD60BE4">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4EFD0269"/>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57F42DE"/>
    <w:multiLevelType w:val="hybridMultilevel"/>
    <w:tmpl w:val="F0C0A1B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5A117B35"/>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0B83CC5"/>
    <w:multiLevelType w:val="hybridMultilevel"/>
    <w:tmpl w:val="2D2AF980"/>
    <w:lvl w:ilvl="0" w:tplc="300A0011">
      <w:start w:val="1"/>
      <w:numFmt w:val="decimal"/>
      <w:lvlText w:val="%1)"/>
      <w:lvlJc w:val="left"/>
      <w:pPr>
        <w:ind w:left="1004" w:hanging="360"/>
      </w:pPr>
    </w:lvl>
    <w:lvl w:ilvl="1" w:tplc="300A0019" w:tentative="1">
      <w:start w:val="1"/>
      <w:numFmt w:val="lowerLetter"/>
      <w:lvlText w:val="%2."/>
      <w:lvlJc w:val="left"/>
      <w:pPr>
        <w:ind w:left="1724" w:hanging="360"/>
      </w:pPr>
    </w:lvl>
    <w:lvl w:ilvl="2" w:tplc="300A001B" w:tentative="1">
      <w:start w:val="1"/>
      <w:numFmt w:val="lowerRoman"/>
      <w:lvlText w:val="%3."/>
      <w:lvlJc w:val="right"/>
      <w:pPr>
        <w:ind w:left="2444" w:hanging="180"/>
      </w:pPr>
    </w:lvl>
    <w:lvl w:ilvl="3" w:tplc="300A000F" w:tentative="1">
      <w:start w:val="1"/>
      <w:numFmt w:val="decimal"/>
      <w:lvlText w:val="%4."/>
      <w:lvlJc w:val="left"/>
      <w:pPr>
        <w:ind w:left="3164" w:hanging="360"/>
      </w:pPr>
    </w:lvl>
    <w:lvl w:ilvl="4" w:tplc="300A0019" w:tentative="1">
      <w:start w:val="1"/>
      <w:numFmt w:val="lowerLetter"/>
      <w:lvlText w:val="%5."/>
      <w:lvlJc w:val="left"/>
      <w:pPr>
        <w:ind w:left="3884" w:hanging="360"/>
      </w:pPr>
    </w:lvl>
    <w:lvl w:ilvl="5" w:tplc="300A001B" w:tentative="1">
      <w:start w:val="1"/>
      <w:numFmt w:val="lowerRoman"/>
      <w:lvlText w:val="%6."/>
      <w:lvlJc w:val="right"/>
      <w:pPr>
        <w:ind w:left="4604" w:hanging="180"/>
      </w:pPr>
    </w:lvl>
    <w:lvl w:ilvl="6" w:tplc="300A000F" w:tentative="1">
      <w:start w:val="1"/>
      <w:numFmt w:val="decimal"/>
      <w:lvlText w:val="%7."/>
      <w:lvlJc w:val="left"/>
      <w:pPr>
        <w:ind w:left="5324" w:hanging="360"/>
      </w:pPr>
    </w:lvl>
    <w:lvl w:ilvl="7" w:tplc="300A0019" w:tentative="1">
      <w:start w:val="1"/>
      <w:numFmt w:val="lowerLetter"/>
      <w:lvlText w:val="%8."/>
      <w:lvlJc w:val="left"/>
      <w:pPr>
        <w:ind w:left="6044" w:hanging="360"/>
      </w:pPr>
    </w:lvl>
    <w:lvl w:ilvl="8" w:tplc="300A001B" w:tentative="1">
      <w:start w:val="1"/>
      <w:numFmt w:val="lowerRoman"/>
      <w:lvlText w:val="%9."/>
      <w:lvlJc w:val="right"/>
      <w:pPr>
        <w:ind w:left="6764" w:hanging="180"/>
      </w:pPr>
    </w:lvl>
  </w:abstractNum>
  <w:abstractNum w:abstractNumId="28" w15:restartNumberingAfterBreak="0">
    <w:nsid w:val="6A2E2AAF"/>
    <w:multiLevelType w:val="multilevel"/>
    <w:tmpl w:val="D236017A"/>
    <w:lvl w:ilvl="0">
      <w:start w:val="1"/>
      <w:numFmt w:val="decimal"/>
      <w:pStyle w:val="Subttulo"/>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6ADE0BBE"/>
    <w:multiLevelType w:val="hybridMultilevel"/>
    <w:tmpl w:val="31C23934"/>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0" w15:restartNumberingAfterBreak="0">
    <w:nsid w:val="73E62130"/>
    <w:multiLevelType w:val="hybridMultilevel"/>
    <w:tmpl w:val="AC0A6FE8"/>
    <w:lvl w:ilvl="0" w:tplc="06148050">
      <w:start w:val="1"/>
      <w:numFmt w:val="upperRoman"/>
      <w:lvlText w:val="%1."/>
      <w:lvlJc w:val="right"/>
      <w:pPr>
        <w:ind w:left="1004" w:hanging="360"/>
      </w:pPr>
    </w:lvl>
    <w:lvl w:ilvl="1" w:tplc="300A0019" w:tentative="1">
      <w:start w:val="1"/>
      <w:numFmt w:val="lowerLetter"/>
      <w:lvlText w:val="%2."/>
      <w:lvlJc w:val="left"/>
      <w:pPr>
        <w:ind w:left="1724" w:hanging="360"/>
      </w:pPr>
    </w:lvl>
    <w:lvl w:ilvl="2" w:tplc="300A001B" w:tentative="1">
      <w:start w:val="1"/>
      <w:numFmt w:val="lowerRoman"/>
      <w:lvlText w:val="%3."/>
      <w:lvlJc w:val="right"/>
      <w:pPr>
        <w:ind w:left="2444" w:hanging="180"/>
      </w:pPr>
    </w:lvl>
    <w:lvl w:ilvl="3" w:tplc="300A000F" w:tentative="1">
      <w:start w:val="1"/>
      <w:numFmt w:val="decimal"/>
      <w:lvlText w:val="%4."/>
      <w:lvlJc w:val="left"/>
      <w:pPr>
        <w:ind w:left="3164" w:hanging="360"/>
      </w:pPr>
    </w:lvl>
    <w:lvl w:ilvl="4" w:tplc="300A0019" w:tentative="1">
      <w:start w:val="1"/>
      <w:numFmt w:val="lowerLetter"/>
      <w:lvlText w:val="%5."/>
      <w:lvlJc w:val="left"/>
      <w:pPr>
        <w:ind w:left="3884" w:hanging="360"/>
      </w:pPr>
    </w:lvl>
    <w:lvl w:ilvl="5" w:tplc="300A001B" w:tentative="1">
      <w:start w:val="1"/>
      <w:numFmt w:val="lowerRoman"/>
      <w:lvlText w:val="%6."/>
      <w:lvlJc w:val="right"/>
      <w:pPr>
        <w:ind w:left="4604" w:hanging="180"/>
      </w:pPr>
    </w:lvl>
    <w:lvl w:ilvl="6" w:tplc="300A000F" w:tentative="1">
      <w:start w:val="1"/>
      <w:numFmt w:val="decimal"/>
      <w:lvlText w:val="%7."/>
      <w:lvlJc w:val="left"/>
      <w:pPr>
        <w:ind w:left="5324" w:hanging="360"/>
      </w:pPr>
    </w:lvl>
    <w:lvl w:ilvl="7" w:tplc="300A0019" w:tentative="1">
      <w:start w:val="1"/>
      <w:numFmt w:val="lowerLetter"/>
      <w:lvlText w:val="%8."/>
      <w:lvlJc w:val="left"/>
      <w:pPr>
        <w:ind w:left="6044" w:hanging="360"/>
      </w:pPr>
    </w:lvl>
    <w:lvl w:ilvl="8" w:tplc="300A001B" w:tentative="1">
      <w:start w:val="1"/>
      <w:numFmt w:val="lowerRoman"/>
      <w:lvlText w:val="%9."/>
      <w:lvlJc w:val="right"/>
      <w:pPr>
        <w:ind w:left="6764" w:hanging="180"/>
      </w:pPr>
    </w:lvl>
  </w:abstractNum>
  <w:abstractNum w:abstractNumId="31" w15:restartNumberingAfterBreak="0">
    <w:nsid w:val="789841C8"/>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923165A"/>
    <w:multiLevelType w:val="hybridMultilevel"/>
    <w:tmpl w:val="4942D6EC"/>
    <w:lvl w:ilvl="0" w:tplc="300A000D">
      <w:start w:val="1"/>
      <w:numFmt w:val="bullet"/>
      <w:lvlText w:val=""/>
      <w:lvlJc w:val="left"/>
      <w:pPr>
        <w:ind w:left="1004" w:hanging="360"/>
      </w:pPr>
      <w:rPr>
        <w:rFonts w:ascii="Wingdings" w:hAnsi="Wingdings"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3" w15:restartNumberingAfterBreak="0">
    <w:nsid w:val="7A9734D2"/>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DED52B9"/>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18"/>
  </w:num>
  <w:num w:numId="3">
    <w:abstractNumId w:val="21"/>
  </w:num>
  <w:num w:numId="4">
    <w:abstractNumId w:val="31"/>
  </w:num>
  <w:num w:numId="5">
    <w:abstractNumId w:val="27"/>
  </w:num>
  <w:num w:numId="6">
    <w:abstractNumId w:val="26"/>
  </w:num>
  <w:num w:numId="7">
    <w:abstractNumId w:val="24"/>
  </w:num>
  <w:num w:numId="8">
    <w:abstractNumId w:val="25"/>
  </w:num>
  <w:num w:numId="9">
    <w:abstractNumId w:val="1"/>
  </w:num>
  <w:num w:numId="10">
    <w:abstractNumId w:val="17"/>
  </w:num>
  <w:num w:numId="11">
    <w:abstractNumId w:val="22"/>
  </w:num>
  <w:num w:numId="12">
    <w:abstractNumId w:val="10"/>
  </w:num>
  <w:num w:numId="13">
    <w:abstractNumId w:val="32"/>
  </w:num>
  <w:num w:numId="14">
    <w:abstractNumId w:val="33"/>
  </w:num>
  <w:num w:numId="15">
    <w:abstractNumId w:val="2"/>
  </w:num>
  <w:num w:numId="16">
    <w:abstractNumId w:val="12"/>
  </w:num>
  <w:num w:numId="17">
    <w:abstractNumId w:val="11"/>
  </w:num>
  <w:num w:numId="18">
    <w:abstractNumId w:val="34"/>
  </w:num>
  <w:num w:numId="19">
    <w:abstractNumId w:val="8"/>
  </w:num>
  <w:num w:numId="20">
    <w:abstractNumId w:val="4"/>
  </w:num>
  <w:num w:numId="21">
    <w:abstractNumId w:val="3"/>
  </w:num>
  <w:num w:numId="22">
    <w:abstractNumId w:val="16"/>
  </w:num>
  <w:num w:numId="23">
    <w:abstractNumId w:val="9"/>
  </w:num>
  <w:num w:numId="24">
    <w:abstractNumId w:val="20"/>
  </w:num>
  <w:num w:numId="25">
    <w:abstractNumId w:val="15"/>
  </w:num>
  <w:num w:numId="26">
    <w:abstractNumId w:val="14"/>
  </w:num>
  <w:num w:numId="27">
    <w:abstractNumId w:val="29"/>
  </w:num>
  <w:num w:numId="28">
    <w:abstractNumId w:val="5"/>
  </w:num>
  <w:num w:numId="29">
    <w:abstractNumId w:val="13"/>
  </w:num>
  <w:num w:numId="30">
    <w:abstractNumId w:val="7"/>
  </w:num>
  <w:num w:numId="31">
    <w:abstractNumId w:val="6"/>
  </w:num>
  <w:num w:numId="32">
    <w:abstractNumId w:val="0"/>
  </w:num>
  <w:num w:numId="33">
    <w:abstractNumId w:val="19"/>
  </w:num>
  <w:num w:numId="34">
    <w:abstractNumId w:val="30"/>
  </w:num>
  <w:num w:numId="35">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71B"/>
    <w:rsid w:val="000040E7"/>
    <w:rsid w:val="0000621F"/>
    <w:rsid w:val="00010FAF"/>
    <w:rsid w:val="000114BF"/>
    <w:rsid w:val="00012A17"/>
    <w:rsid w:val="00012CAC"/>
    <w:rsid w:val="0001773E"/>
    <w:rsid w:val="00020A68"/>
    <w:rsid w:val="00020FD1"/>
    <w:rsid w:val="00021A9F"/>
    <w:rsid w:val="0002237A"/>
    <w:rsid w:val="0002473B"/>
    <w:rsid w:val="000268E7"/>
    <w:rsid w:val="00030C10"/>
    <w:rsid w:val="000316FF"/>
    <w:rsid w:val="00031F03"/>
    <w:rsid w:val="00032A12"/>
    <w:rsid w:val="0003468E"/>
    <w:rsid w:val="000360CC"/>
    <w:rsid w:val="00037EAA"/>
    <w:rsid w:val="00041E01"/>
    <w:rsid w:val="00050DAC"/>
    <w:rsid w:val="00053A85"/>
    <w:rsid w:val="00053ED9"/>
    <w:rsid w:val="00054105"/>
    <w:rsid w:val="000559C4"/>
    <w:rsid w:val="000560C0"/>
    <w:rsid w:val="0005671B"/>
    <w:rsid w:val="00056941"/>
    <w:rsid w:val="00056D25"/>
    <w:rsid w:val="0006073C"/>
    <w:rsid w:val="00062710"/>
    <w:rsid w:val="00063AD3"/>
    <w:rsid w:val="00066D2C"/>
    <w:rsid w:val="0007532F"/>
    <w:rsid w:val="00075998"/>
    <w:rsid w:val="0008066A"/>
    <w:rsid w:val="00080672"/>
    <w:rsid w:val="000811A5"/>
    <w:rsid w:val="0008184B"/>
    <w:rsid w:val="00082EAB"/>
    <w:rsid w:val="00083DC4"/>
    <w:rsid w:val="00083E30"/>
    <w:rsid w:val="00084D69"/>
    <w:rsid w:val="00084E09"/>
    <w:rsid w:val="000854EB"/>
    <w:rsid w:val="00093F26"/>
    <w:rsid w:val="00095A23"/>
    <w:rsid w:val="00096F3F"/>
    <w:rsid w:val="0009713E"/>
    <w:rsid w:val="00097376"/>
    <w:rsid w:val="00097DD6"/>
    <w:rsid w:val="000A01FB"/>
    <w:rsid w:val="000A1D71"/>
    <w:rsid w:val="000B04EB"/>
    <w:rsid w:val="000B0554"/>
    <w:rsid w:val="000B0598"/>
    <w:rsid w:val="000B110F"/>
    <w:rsid w:val="000B1FDD"/>
    <w:rsid w:val="000B445F"/>
    <w:rsid w:val="000B563B"/>
    <w:rsid w:val="000B7990"/>
    <w:rsid w:val="000C0389"/>
    <w:rsid w:val="000C1592"/>
    <w:rsid w:val="000C29E1"/>
    <w:rsid w:val="000C358A"/>
    <w:rsid w:val="000C3BE6"/>
    <w:rsid w:val="000C48F4"/>
    <w:rsid w:val="000C5955"/>
    <w:rsid w:val="000C784D"/>
    <w:rsid w:val="000D23EC"/>
    <w:rsid w:val="000D3B86"/>
    <w:rsid w:val="000D4579"/>
    <w:rsid w:val="000D529B"/>
    <w:rsid w:val="000D686E"/>
    <w:rsid w:val="000D735B"/>
    <w:rsid w:val="000E58FF"/>
    <w:rsid w:val="000E6ADC"/>
    <w:rsid w:val="000E79A7"/>
    <w:rsid w:val="000F3347"/>
    <w:rsid w:val="000F3377"/>
    <w:rsid w:val="000F5396"/>
    <w:rsid w:val="000F5483"/>
    <w:rsid w:val="00100BB6"/>
    <w:rsid w:val="001026C0"/>
    <w:rsid w:val="0010472E"/>
    <w:rsid w:val="00105AE2"/>
    <w:rsid w:val="00110246"/>
    <w:rsid w:val="00114551"/>
    <w:rsid w:val="00116655"/>
    <w:rsid w:val="00121305"/>
    <w:rsid w:val="00121681"/>
    <w:rsid w:val="001216F4"/>
    <w:rsid w:val="001217B4"/>
    <w:rsid w:val="00121A06"/>
    <w:rsid w:val="00121F4A"/>
    <w:rsid w:val="001220BE"/>
    <w:rsid w:val="00122111"/>
    <w:rsid w:val="0012282F"/>
    <w:rsid w:val="00122875"/>
    <w:rsid w:val="00122F6A"/>
    <w:rsid w:val="00123A60"/>
    <w:rsid w:val="0012640E"/>
    <w:rsid w:val="00130802"/>
    <w:rsid w:val="0013169D"/>
    <w:rsid w:val="00131882"/>
    <w:rsid w:val="00131A06"/>
    <w:rsid w:val="00131DC9"/>
    <w:rsid w:val="00132E0D"/>
    <w:rsid w:val="001361D2"/>
    <w:rsid w:val="00142253"/>
    <w:rsid w:val="00142E7A"/>
    <w:rsid w:val="0014324D"/>
    <w:rsid w:val="001455A3"/>
    <w:rsid w:val="001510CD"/>
    <w:rsid w:val="001514FB"/>
    <w:rsid w:val="00155BCE"/>
    <w:rsid w:val="00157174"/>
    <w:rsid w:val="00157A79"/>
    <w:rsid w:val="00160EB7"/>
    <w:rsid w:val="00161420"/>
    <w:rsid w:val="001619B0"/>
    <w:rsid w:val="00162285"/>
    <w:rsid w:val="00163BB6"/>
    <w:rsid w:val="00164EFB"/>
    <w:rsid w:val="001653DE"/>
    <w:rsid w:val="00165E92"/>
    <w:rsid w:val="0016751E"/>
    <w:rsid w:val="00167F24"/>
    <w:rsid w:val="00171726"/>
    <w:rsid w:val="00171A51"/>
    <w:rsid w:val="001729A8"/>
    <w:rsid w:val="00173D66"/>
    <w:rsid w:val="00177C52"/>
    <w:rsid w:val="00177CC3"/>
    <w:rsid w:val="00180664"/>
    <w:rsid w:val="00180AB7"/>
    <w:rsid w:val="0018229C"/>
    <w:rsid w:val="00182439"/>
    <w:rsid w:val="00183D0A"/>
    <w:rsid w:val="0018408E"/>
    <w:rsid w:val="00184867"/>
    <w:rsid w:val="00187A92"/>
    <w:rsid w:val="00192641"/>
    <w:rsid w:val="00193D70"/>
    <w:rsid w:val="00197546"/>
    <w:rsid w:val="00197CA9"/>
    <w:rsid w:val="001A08CE"/>
    <w:rsid w:val="001A3252"/>
    <w:rsid w:val="001A4602"/>
    <w:rsid w:val="001A7571"/>
    <w:rsid w:val="001B09BD"/>
    <w:rsid w:val="001B0C70"/>
    <w:rsid w:val="001B7AC1"/>
    <w:rsid w:val="001B7ACB"/>
    <w:rsid w:val="001C05DB"/>
    <w:rsid w:val="001C32EB"/>
    <w:rsid w:val="001C3A24"/>
    <w:rsid w:val="001C4FD8"/>
    <w:rsid w:val="001D2026"/>
    <w:rsid w:val="001D3C8C"/>
    <w:rsid w:val="001D4D17"/>
    <w:rsid w:val="001E0AE5"/>
    <w:rsid w:val="001E2D61"/>
    <w:rsid w:val="001E4621"/>
    <w:rsid w:val="001F0756"/>
    <w:rsid w:val="001F2996"/>
    <w:rsid w:val="001F75F1"/>
    <w:rsid w:val="002015B0"/>
    <w:rsid w:val="00204F38"/>
    <w:rsid w:val="00207134"/>
    <w:rsid w:val="00217429"/>
    <w:rsid w:val="00220CB6"/>
    <w:rsid w:val="00222F69"/>
    <w:rsid w:val="00225617"/>
    <w:rsid w:val="002256EC"/>
    <w:rsid w:val="0022614F"/>
    <w:rsid w:val="002267A8"/>
    <w:rsid w:val="00232027"/>
    <w:rsid w:val="00232822"/>
    <w:rsid w:val="00232E3C"/>
    <w:rsid w:val="00234384"/>
    <w:rsid w:val="00235550"/>
    <w:rsid w:val="002361FF"/>
    <w:rsid w:val="002368F7"/>
    <w:rsid w:val="00240A5F"/>
    <w:rsid w:val="002423E4"/>
    <w:rsid w:val="00242C3D"/>
    <w:rsid w:val="00252395"/>
    <w:rsid w:val="00252CC0"/>
    <w:rsid w:val="00253485"/>
    <w:rsid w:val="0025657D"/>
    <w:rsid w:val="00257570"/>
    <w:rsid w:val="002640BF"/>
    <w:rsid w:val="00265CE1"/>
    <w:rsid w:val="00267901"/>
    <w:rsid w:val="00270692"/>
    <w:rsid w:val="00270913"/>
    <w:rsid w:val="00274102"/>
    <w:rsid w:val="0027444F"/>
    <w:rsid w:val="0027475E"/>
    <w:rsid w:val="00276CE6"/>
    <w:rsid w:val="00277CC6"/>
    <w:rsid w:val="00282529"/>
    <w:rsid w:val="00282562"/>
    <w:rsid w:val="00285FD9"/>
    <w:rsid w:val="00294FB1"/>
    <w:rsid w:val="00297E2A"/>
    <w:rsid w:val="002A0945"/>
    <w:rsid w:val="002A12BF"/>
    <w:rsid w:val="002A2513"/>
    <w:rsid w:val="002A3F48"/>
    <w:rsid w:val="002A48A6"/>
    <w:rsid w:val="002A7E9C"/>
    <w:rsid w:val="002B0C27"/>
    <w:rsid w:val="002B32FB"/>
    <w:rsid w:val="002B5EB6"/>
    <w:rsid w:val="002B7CEA"/>
    <w:rsid w:val="002C02D5"/>
    <w:rsid w:val="002C3593"/>
    <w:rsid w:val="002C3C40"/>
    <w:rsid w:val="002C678E"/>
    <w:rsid w:val="002C7376"/>
    <w:rsid w:val="002C7663"/>
    <w:rsid w:val="002C7DC5"/>
    <w:rsid w:val="002D2B85"/>
    <w:rsid w:val="002D2BE9"/>
    <w:rsid w:val="002D30DD"/>
    <w:rsid w:val="002D509D"/>
    <w:rsid w:val="002D50A6"/>
    <w:rsid w:val="002D6799"/>
    <w:rsid w:val="002D7218"/>
    <w:rsid w:val="002E08CB"/>
    <w:rsid w:val="002E65B4"/>
    <w:rsid w:val="002E7D7E"/>
    <w:rsid w:val="002F236A"/>
    <w:rsid w:val="002F35DF"/>
    <w:rsid w:val="002F3EC6"/>
    <w:rsid w:val="002F621A"/>
    <w:rsid w:val="00304A1A"/>
    <w:rsid w:val="00304BAA"/>
    <w:rsid w:val="00305639"/>
    <w:rsid w:val="003063C2"/>
    <w:rsid w:val="0030680D"/>
    <w:rsid w:val="00306CBD"/>
    <w:rsid w:val="003115C9"/>
    <w:rsid w:val="00312966"/>
    <w:rsid w:val="00312D49"/>
    <w:rsid w:val="003133E2"/>
    <w:rsid w:val="003146F8"/>
    <w:rsid w:val="00315F5D"/>
    <w:rsid w:val="00317920"/>
    <w:rsid w:val="003237C6"/>
    <w:rsid w:val="003264F0"/>
    <w:rsid w:val="00327F61"/>
    <w:rsid w:val="00330B6D"/>
    <w:rsid w:val="0033191F"/>
    <w:rsid w:val="00336E31"/>
    <w:rsid w:val="00340CEB"/>
    <w:rsid w:val="00341F5F"/>
    <w:rsid w:val="00342F9D"/>
    <w:rsid w:val="003441C5"/>
    <w:rsid w:val="00345D8F"/>
    <w:rsid w:val="00345EB3"/>
    <w:rsid w:val="003479CC"/>
    <w:rsid w:val="00351E2A"/>
    <w:rsid w:val="00353593"/>
    <w:rsid w:val="003538F6"/>
    <w:rsid w:val="003567F2"/>
    <w:rsid w:val="003603CF"/>
    <w:rsid w:val="00363450"/>
    <w:rsid w:val="003731D2"/>
    <w:rsid w:val="00374E30"/>
    <w:rsid w:val="00380ED2"/>
    <w:rsid w:val="00383030"/>
    <w:rsid w:val="00384BC1"/>
    <w:rsid w:val="00386DEF"/>
    <w:rsid w:val="0039091A"/>
    <w:rsid w:val="00390C02"/>
    <w:rsid w:val="0039270E"/>
    <w:rsid w:val="0039406C"/>
    <w:rsid w:val="00394432"/>
    <w:rsid w:val="00395199"/>
    <w:rsid w:val="00395690"/>
    <w:rsid w:val="00397474"/>
    <w:rsid w:val="003A1ACF"/>
    <w:rsid w:val="003A34D0"/>
    <w:rsid w:val="003A4FDE"/>
    <w:rsid w:val="003A73EE"/>
    <w:rsid w:val="003B0A60"/>
    <w:rsid w:val="003B463E"/>
    <w:rsid w:val="003B5D20"/>
    <w:rsid w:val="003B6B55"/>
    <w:rsid w:val="003C439C"/>
    <w:rsid w:val="003C73FA"/>
    <w:rsid w:val="003D11AA"/>
    <w:rsid w:val="003D1F54"/>
    <w:rsid w:val="003D20D1"/>
    <w:rsid w:val="003D2321"/>
    <w:rsid w:val="003D6428"/>
    <w:rsid w:val="003E2D5F"/>
    <w:rsid w:val="003E33B5"/>
    <w:rsid w:val="003E47BC"/>
    <w:rsid w:val="003F4156"/>
    <w:rsid w:val="003F7165"/>
    <w:rsid w:val="003F7439"/>
    <w:rsid w:val="00405741"/>
    <w:rsid w:val="004057BD"/>
    <w:rsid w:val="00406098"/>
    <w:rsid w:val="004063D3"/>
    <w:rsid w:val="004076BE"/>
    <w:rsid w:val="004163EC"/>
    <w:rsid w:val="00416C9D"/>
    <w:rsid w:val="00423F3E"/>
    <w:rsid w:val="00425A58"/>
    <w:rsid w:val="0042617C"/>
    <w:rsid w:val="00426A92"/>
    <w:rsid w:val="00427A05"/>
    <w:rsid w:val="0043041C"/>
    <w:rsid w:val="00433489"/>
    <w:rsid w:val="00436132"/>
    <w:rsid w:val="0044021B"/>
    <w:rsid w:val="00444F4F"/>
    <w:rsid w:val="004467E4"/>
    <w:rsid w:val="00451E01"/>
    <w:rsid w:val="004531C6"/>
    <w:rsid w:val="0045425B"/>
    <w:rsid w:val="004545C5"/>
    <w:rsid w:val="00455613"/>
    <w:rsid w:val="00455909"/>
    <w:rsid w:val="00462B10"/>
    <w:rsid w:val="00462B8A"/>
    <w:rsid w:val="004656F2"/>
    <w:rsid w:val="00466A2A"/>
    <w:rsid w:val="004705BA"/>
    <w:rsid w:val="00471BAF"/>
    <w:rsid w:val="00471F45"/>
    <w:rsid w:val="00473FFD"/>
    <w:rsid w:val="00477ADF"/>
    <w:rsid w:val="0048116B"/>
    <w:rsid w:val="00481E36"/>
    <w:rsid w:val="00487707"/>
    <w:rsid w:val="00492BDD"/>
    <w:rsid w:val="00493164"/>
    <w:rsid w:val="00493DE2"/>
    <w:rsid w:val="004947CD"/>
    <w:rsid w:val="004964B2"/>
    <w:rsid w:val="004A0442"/>
    <w:rsid w:val="004A0CD2"/>
    <w:rsid w:val="004A1C3E"/>
    <w:rsid w:val="004A3A7D"/>
    <w:rsid w:val="004A443C"/>
    <w:rsid w:val="004A613E"/>
    <w:rsid w:val="004B0A87"/>
    <w:rsid w:val="004B0FEA"/>
    <w:rsid w:val="004B3B78"/>
    <w:rsid w:val="004B5D5D"/>
    <w:rsid w:val="004B67C8"/>
    <w:rsid w:val="004B7095"/>
    <w:rsid w:val="004B789F"/>
    <w:rsid w:val="004C001D"/>
    <w:rsid w:val="004C143B"/>
    <w:rsid w:val="004C6821"/>
    <w:rsid w:val="004C6FCD"/>
    <w:rsid w:val="004D0C01"/>
    <w:rsid w:val="004D0D2F"/>
    <w:rsid w:val="004D21E5"/>
    <w:rsid w:val="004D4BD7"/>
    <w:rsid w:val="004D5C88"/>
    <w:rsid w:val="004D6283"/>
    <w:rsid w:val="004E1014"/>
    <w:rsid w:val="004E18E0"/>
    <w:rsid w:val="004E1C7D"/>
    <w:rsid w:val="004E4504"/>
    <w:rsid w:val="004F156D"/>
    <w:rsid w:val="004F23DD"/>
    <w:rsid w:val="004F5813"/>
    <w:rsid w:val="004F6DB8"/>
    <w:rsid w:val="004F74EB"/>
    <w:rsid w:val="005008D7"/>
    <w:rsid w:val="00502439"/>
    <w:rsid w:val="005027A1"/>
    <w:rsid w:val="005108A5"/>
    <w:rsid w:val="005113F3"/>
    <w:rsid w:val="0051211C"/>
    <w:rsid w:val="005135CD"/>
    <w:rsid w:val="00513B8C"/>
    <w:rsid w:val="0051560D"/>
    <w:rsid w:val="0051647B"/>
    <w:rsid w:val="005166D9"/>
    <w:rsid w:val="00516B21"/>
    <w:rsid w:val="00524A1F"/>
    <w:rsid w:val="00524A5A"/>
    <w:rsid w:val="0052585E"/>
    <w:rsid w:val="005300C3"/>
    <w:rsid w:val="005316FB"/>
    <w:rsid w:val="00531E99"/>
    <w:rsid w:val="005320BB"/>
    <w:rsid w:val="0053224F"/>
    <w:rsid w:val="00532492"/>
    <w:rsid w:val="0053312C"/>
    <w:rsid w:val="0053467F"/>
    <w:rsid w:val="00534946"/>
    <w:rsid w:val="00534BE8"/>
    <w:rsid w:val="00535552"/>
    <w:rsid w:val="00535578"/>
    <w:rsid w:val="00536ABE"/>
    <w:rsid w:val="00540707"/>
    <w:rsid w:val="005418FE"/>
    <w:rsid w:val="00542E4C"/>
    <w:rsid w:val="005442ED"/>
    <w:rsid w:val="005450C4"/>
    <w:rsid w:val="00545587"/>
    <w:rsid w:val="005471B3"/>
    <w:rsid w:val="00551E8C"/>
    <w:rsid w:val="00551F39"/>
    <w:rsid w:val="00552CC9"/>
    <w:rsid w:val="00554050"/>
    <w:rsid w:val="00554E33"/>
    <w:rsid w:val="005556DA"/>
    <w:rsid w:val="00556F1E"/>
    <w:rsid w:val="00560E1E"/>
    <w:rsid w:val="00563E44"/>
    <w:rsid w:val="00571C9A"/>
    <w:rsid w:val="00573A2A"/>
    <w:rsid w:val="00573B7C"/>
    <w:rsid w:val="00575E85"/>
    <w:rsid w:val="00576AAE"/>
    <w:rsid w:val="00577AEE"/>
    <w:rsid w:val="00580608"/>
    <w:rsid w:val="005835A3"/>
    <w:rsid w:val="00584E3F"/>
    <w:rsid w:val="00585C04"/>
    <w:rsid w:val="00590CBC"/>
    <w:rsid w:val="00591CB2"/>
    <w:rsid w:val="00591F1F"/>
    <w:rsid w:val="005A4215"/>
    <w:rsid w:val="005A445E"/>
    <w:rsid w:val="005A50C0"/>
    <w:rsid w:val="005A78E4"/>
    <w:rsid w:val="005A7C3B"/>
    <w:rsid w:val="005B1F8F"/>
    <w:rsid w:val="005B28F2"/>
    <w:rsid w:val="005B2AAF"/>
    <w:rsid w:val="005B4F60"/>
    <w:rsid w:val="005B746B"/>
    <w:rsid w:val="005C154B"/>
    <w:rsid w:val="005C2AC7"/>
    <w:rsid w:val="005C3A7C"/>
    <w:rsid w:val="005C3F56"/>
    <w:rsid w:val="005C4FD5"/>
    <w:rsid w:val="005C51DC"/>
    <w:rsid w:val="005C53CE"/>
    <w:rsid w:val="005D4091"/>
    <w:rsid w:val="005E279F"/>
    <w:rsid w:val="005E2E83"/>
    <w:rsid w:val="005E4558"/>
    <w:rsid w:val="005E53C5"/>
    <w:rsid w:val="005E7EF9"/>
    <w:rsid w:val="005F199B"/>
    <w:rsid w:val="005F1F00"/>
    <w:rsid w:val="005F1F78"/>
    <w:rsid w:val="005F62EF"/>
    <w:rsid w:val="005F7B74"/>
    <w:rsid w:val="00600336"/>
    <w:rsid w:val="00601522"/>
    <w:rsid w:val="006027C9"/>
    <w:rsid w:val="00607DCA"/>
    <w:rsid w:val="006106A2"/>
    <w:rsid w:val="00613BD5"/>
    <w:rsid w:val="00621F06"/>
    <w:rsid w:val="00623E4A"/>
    <w:rsid w:val="00626D8A"/>
    <w:rsid w:val="00633731"/>
    <w:rsid w:val="00634CC3"/>
    <w:rsid w:val="00637C18"/>
    <w:rsid w:val="00642629"/>
    <w:rsid w:val="00642E2C"/>
    <w:rsid w:val="006464C6"/>
    <w:rsid w:val="0065518E"/>
    <w:rsid w:val="00660C1D"/>
    <w:rsid w:val="00661390"/>
    <w:rsid w:val="00664E8D"/>
    <w:rsid w:val="00666D95"/>
    <w:rsid w:val="00667952"/>
    <w:rsid w:val="00672EB9"/>
    <w:rsid w:val="006738AB"/>
    <w:rsid w:val="00674329"/>
    <w:rsid w:val="00676F40"/>
    <w:rsid w:val="006774DD"/>
    <w:rsid w:val="00677B09"/>
    <w:rsid w:val="006811AD"/>
    <w:rsid w:val="00682AD8"/>
    <w:rsid w:val="00683F62"/>
    <w:rsid w:val="00684611"/>
    <w:rsid w:val="00686018"/>
    <w:rsid w:val="0068649D"/>
    <w:rsid w:val="00687495"/>
    <w:rsid w:val="006904DE"/>
    <w:rsid w:val="006909A5"/>
    <w:rsid w:val="00690AE0"/>
    <w:rsid w:val="00694ADA"/>
    <w:rsid w:val="00695C81"/>
    <w:rsid w:val="006965BA"/>
    <w:rsid w:val="00696A12"/>
    <w:rsid w:val="0069786F"/>
    <w:rsid w:val="00697B52"/>
    <w:rsid w:val="006A0355"/>
    <w:rsid w:val="006A1A4E"/>
    <w:rsid w:val="006A1F1D"/>
    <w:rsid w:val="006A7BC8"/>
    <w:rsid w:val="006B073A"/>
    <w:rsid w:val="006B1BB7"/>
    <w:rsid w:val="006B1E04"/>
    <w:rsid w:val="006B2C12"/>
    <w:rsid w:val="006B2E18"/>
    <w:rsid w:val="006B3B0E"/>
    <w:rsid w:val="006B3EDC"/>
    <w:rsid w:val="006B427A"/>
    <w:rsid w:val="006C0749"/>
    <w:rsid w:val="006C33D0"/>
    <w:rsid w:val="006C4CEF"/>
    <w:rsid w:val="006C4EAF"/>
    <w:rsid w:val="006C7045"/>
    <w:rsid w:val="006D0236"/>
    <w:rsid w:val="006D2B5D"/>
    <w:rsid w:val="006D4942"/>
    <w:rsid w:val="006D64AB"/>
    <w:rsid w:val="006D790D"/>
    <w:rsid w:val="006E24F4"/>
    <w:rsid w:val="006E31EF"/>
    <w:rsid w:val="006E5D8C"/>
    <w:rsid w:val="006E6F88"/>
    <w:rsid w:val="006F4CF0"/>
    <w:rsid w:val="006F7B01"/>
    <w:rsid w:val="0070007D"/>
    <w:rsid w:val="0070028A"/>
    <w:rsid w:val="00702041"/>
    <w:rsid w:val="00702C6D"/>
    <w:rsid w:val="007031D2"/>
    <w:rsid w:val="0070546B"/>
    <w:rsid w:val="00705869"/>
    <w:rsid w:val="00705BBB"/>
    <w:rsid w:val="007069EF"/>
    <w:rsid w:val="007076A6"/>
    <w:rsid w:val="00707EDD"/>
    <w:rsid w:val="0071159B"/>
    <w:rsid w:val="00711FF6"/>
    <w:rsid w:val="00712A8B"/>
    <w:rsid w:val="00714F20"/>
    <w:rsid w:val="00716141"/>
    <w:rsid w:val="00720741"/>
    <w:rsid w:val="00722F8D"/>
    <w:rsid w:val="007249B9"/>
    <w:rsid w:val="00725F61"/>
    <w:rsid w:val="0073058C"/>
    <w:rsid w:val="007341F5"/>
    <w:rsid w:val="00736494"/>
    <w:rsid w:val="007369EB"/>
    <w:rsid w:val="007378F1"/>
    <w:rsid w:val="0075010C"/>
    <w:rsid w:val="00752406"/>
    <w:rsid w:val="007527BB"/>
    <w:rsid w:val="00762B7C"/>
    <w:rsid w:val="007643B5"/>
    <w:rsid w:val="00766DD6"/>
    <w:rsid w:val="007679AA"/>
    <w:rsid w:val="00767D6B"/>
    <w:rsid w:val="0077036A"/>
    <w:rsid w:val="00770A84"/>
    <w:rsid w:val="007728DF"/>
    <w:rsid w:val="007749C9"/>
    <w:rsid w:val="00774C0C"/>
    <w:rsid w:val="007804D0"/>
    <w:rsid w:val="00785C0D"/>
    <w:rsid w:val="00787C6F"/>
    <w:rsid w:val="00791550"/>
    <w:rsid w:val="00791A49"/>
    <w:rsid w:val="00794861"/>
    <w:rsid w:val="007A0138"/>
    <w:rsid w:val="007A0FA9"/>
    <w:rsid w:val="007A20A5"/>
    <w:rsid w:val="007A247B"/>
    <w:rsid w:val="007A41BA"/>
    <w:rsid w:val="007A4655"/>
    <w:rsid w:val="007A6340"/>
    <w:rsid w:val="007A7794"/>
    <w:rsid w:val="007B1AB6"/>
    <w:rsid w:val="007B63DF"/>
    <w:rsid w:val="007C0982"/>
    <w:rsid w:val="007C192D"/>
    <w:rsid w:val="007C214C"/>
    <w:rsid w:val="007C3210"/>
    <w:rsid w:val="007C6631"/>
    <w:rsid w:val="007C6EFD"/>
    <w:rsid w:val="007C6F3C"/>
    <w:rsid w:val="007D0E45"/>
    <w:rsid w:val="007D3278"/>
    <w:rsid w:val="007D362B"/>
    <w:rsid w:val="007E0393"/>
    <w:rsid w:val="007E0753"/>
    <w:rsid w:val="007E48E8"/>
    <w:rsid w:val="007E5023"/>
    <w:rsid w:val="007E5E0E"/>
    <w:rsid w:val="007E7000"/>
    <w:rsid w:val="007F068C"/>
    <w:rsid w:val="007F080F"/>
    <w:rsid w:val="007F12CA"/>
    <w:rsid w:val="007F1C79"/>
    <w:rsid w:val="007F6209"/>
    <w:rsid w:val="007F7B27"/>
    <w:rsid w:val="00800D9B"/>
    <w:rsid w:val="008018E6"/>
    <w:rsid w:val="008033D3"/>
    <w:rsid w:val="00803ACD"/>
    <w:rsid w:val="00803BD4"/>
    <w:rsid w:val="00803CE6"/>
    <w:rsid w:val="00804898"/>
    <w:rsid w:val="00805597"/>
    <w:rsid w:val="00807E57"/>
    <w:rsid w:val="0081170E"/>
    <w:rsid w:val="008120AF"/>
    <w:rsid w:val="00812193"/>
    <w:rsid w:val="0081500F"/>
    <w:rsid w:val="0082189C"/>
    <w:rsid w:val="00822087"/>
    <w:rsid w:val="008237DD"/>
    <w:rsid w:val="00826E1B"/>
    <w:rsid w:val="0082739E"/>
    <w:rsid w:val="00827F14"/>
    <w:rsid w:val="00831CAE"/>
    <w:rsid w:val="00832FDF"/>
    <w:rsid w:val="008332C9"/>
    <w:rsid w:val="00833FB5"/>
    <w:rsid w:val="00834412"/>
    <w:rsid w:val="008372AC"/>
    <w:rsid w:val="00840E49"/>
    <w:rsid w:val="00841456"/>
    <w:rsid w:val="00841C7C"/>
    <w:rsid w:val="008422D4"/>
    <w:rsid w:val="00843B43"/>
    <w:rsid w:val="00845D9C"/>
    <w:rsid w:val="008465B6"/>
    <w:rsid w:val="0084667C"/>
    <w:rsid w:val="00846930"/>
    <w:rsid w:val="00850BDA"/>
    <w:rsid w:val="00851854"/>
    <w:rsid w:val="00851932"/>
    <w:rsid w:val="0085732E"/>
    <w:rsid w:val="00857973"/>
    <w:rsid w:val="00860D29"/>
    <w:rsid w:val="00860D8D"/>
    <w:rsid w:val="008637D2"/>
    <w:rsid w:val="00863E9B"/>
    <w:rsid w:val="0086744B"/>
    <w:rsid w:val="00870A63"/>
    <w:rsid w:val="00874B6D"/>
    <w:rsid w:val="00875BA6"/>
    <w:rsid w:val="00876189"/>
    <w:rsid w:val="00877856"/>
    <w:rsid w:val="00881016"/>
    <w:rsid w:val="00882369"/>
    <w:rsid w:val="0088474C"/>
    <w:rsid w:val="00884E79"/>
    <w:rsid w:val="00890602"/>
    <w:rsid w:val="008908CD"/>
    <w:rsid w:val="00891002"/>
    <w:rsid w:val="00891358"/>
    <w:rsid w:val="008913F6"/>
    <w:rsid w:val="00892186"/>
    <w:rsid w:val="00892FB2"/>
    <w:rsid w:val="008A06AA"/>
    <w:rsid w:val="008A2A16"/>
    <w:rsid w:val="008A7B5E"/>
    <w:rsid w:val="008B0635"/>
    <w:rsid w:val="008B6B50"/>
    <w:rsid w:val="008C1B97"/>
    <w:rsid w:val="008C27A7"/>
    <w:rsid w:val="008C30B4"/>
    <w:rsid w:val="008C477A"/>
    <w:rsid w:val="008C5904"/>
    <w:rsid w:val="008C7469"/>
    <w:rsid w:val="008C7DE0"/>
    <w:rsid w:val="008D050C"/>
    <w:rsid w:val="008E203C"/>
    <w:rsid w:val="008E39AC"/>
    <w:rsid w:val="008E5756"/>
    <w:rsid w:val="008E622F"/>
    <w:rsid w:val="008F2EC4"/>
    <w:rsid w:val="008F3016"/>
    <w:rsid w:val="008F4D3D"/>
    <w:rsid w:val="008F5F39"/>
    <w:rsid w:val="009021F8"/>
    <w:rsid w:val="00905813"/>
    <w:rsid w:val="00906ED6"/>
    <w:rsid w:val="009101B1"/>
    <w:rsid w:val="00910B2A"/>
    <w:rsid w:val="009114BC"/>
    <w:rsid w:val="00913E6A"/>
    <w:rsid w:val="00915096"/>
    <w:rsid w:val="00916FDB"/>
    <w:rsid w:val="00924854"/>
    <w:rsid w:val="00924D73"/>
    <w:rsid w:val="009271E1"/>
    <w:rsid w:val="00932CBF"/>
    <w:rsid w:val="00933B23"/>
    <w:rsid w:val="00935204"/>
    <w:rsid w:val="009362BC"/>
    <w:rsid w:val="00936552"/>
    <w:rsid w:val="00942D53"/>
    <w:rsid w:val="009450BE"/>
    <w:rsid w:val="009455C3"/>
    <w:rsid w:val="00945C2A"/>
    <w:rsid w:val="009506BF"/>
    <w:rsid w:val="00950ABC"/>
    <w:rsid w:val="00951A97"/>
    <w:rsid w:val="009529A0"/>
    <w:rsid w:val="00952C1B"/>
    <w:rsid w:val="009549D1"/>
    <w:rsid w:val="009557A0"/>
    <w:rsid w:val="0095699E"/>
    <w:rsid w:val="00960CF9"/>
    <w:rsid w:val="009616F1"/>
    <w:rsid w:val="00962CB2"/>
    <w:rsid w:val="009649AA"/>
    <w:rsid w:val="00965674"/>
    <w:rsid w:val="0096729D"/>
    <w:rsid w:val="00972B22"/>
    <w:rsid w:val="00972B86"/>
    <w:rsid w:val="00972EC4"/>
    <w:rsid w:val="00973AF5"/>
    <w:rsid w:val="00976036"/>
    <w:rsid w:val="00976D5E"/>
    <w:rsid w:val="00980311"/>
    <w:rsid w:val="00981D93"/>
    <w:rsid w:val="00981DFA"/>
    <w:rsid w:val="00985CE4"/>
    <w:rsid w:val="00987879"/>
    <w:rsid w:val="00990717"/>
    <w:rsid w:val="00993261"/>
    <w:rsid w:val="00993441"/>
    <w:rsid w:val="00993C2B"/>
    <w:rsid w:val="00994FAB"/>
    <w:rsid w:val="0099548F"/>
    <w:rsid w:val="009A7408"/>
    <w:rsid w:val="009B04F5"/>
    <w:rsid w:val="009B3AF1"/>
    <w:rsid w:val="009C01A0"/>
    <w:rsid w:val="009C077D"/>
    <w:rsid w:val="009C0DB7"/>
    <w:rsid w:val="009C1A14"/>
    <w:rsid w:val="009C2EB3"/>
    <w:rsid w:val="009C531D"/>
    <w:rsid w:val="009D019D"/>
    <w:rsid w:val="009D0935"/>
    <w:rsid w:val="009D130E"/>
    <w:rsid w:val="009D2E50"/>
    <w:rsid w:val="009D6BD3"/>
    <w:rsid w:val="009E01B4"/>
    <w:rsid w:val="009E23A5"/>
    <w:rsid w:val="009E3595"/>
    <w:rsid w:val="009E3A88"/>
    <w:rsid w:val="009E522F"/>
    <w:rsid w:val="009E66AF"/>
    <w:rsid w:val="009F1E08"/>
    <w:rsid w:val="009F2EFD"/>
    <w:rsid w:val="009F300E"/>
    <w:rsid w:val="009F4230"/>
    <w:rsid w:val="009F51D9"/>
    <w:rsid w:val="009F6058"/>
    <w:rsid w:val="00A04EC9"/>
    <w:rsid w:val="00A0733A"/>
    <w:rsid w:val="00A12820"/>
    <w:rsid w:val="00A13FE5"/>
    <w:rsid w:val="00A174EA"/>
    <w:rsid w:val="00A21112"/>
    <w:rsid w:val="00A21A81"/>
    <w:rsid w:val="00A227B3"/>
    <w:rsid w:val="00A22C1F"/>
    <w:rsid w:val="00A2355C"/>
    <w:rsid w:val="00A25166"/>
    <w:rsid w:val="00A255DD"/>
    <w:rsid w:val="00A30556"/>
    <w:rsid w:val="00A31608"/>
    <w:rsid w:val="00A331EC"/>
    <w:rsid w:val="00A346B1"/>
    <w:rsid w:val="00A3520C"/>
    <w:rsid w:val="00A377D8"/>
    <w:rsid w:val="00A4022C"/>
    <w:rsid w:val="00A4168B"/>
    <w:rsid w:val="00A42234"/>
    <w:rsid w:val="00A443E0"/>
    <w:rsid w:val="00A526FC"/>
    <w:rsid w:val="00A56FF3"/>
    <w:rsid w:val="00A63018"/>
    <w:rsid w:val="00A639B1"/>
    <w:rsid w:val="00A63FF6"/>
    <w:rsid w:val="00A64590"/>
    <w:rsid w:val="00A67F7E"/>
    <w:rsid w:val="00A726FF"/>
    <w:rsid w:val="00A73528"/>
    <w:rsid w:val="00A77D80"/>
    <w:rsid w:val="00A80CAE"/>
    <w:rsid w:val="00A81027"/>
    <w:rsid w:val="00A81B29"/>
    <w:rsid w:val="00A82438"/>
    <w:rsid w:val="00A83196"/>
    <w:rsid w:val="00A83D1C"/>
    <w:rsid w:val="00A845E6"/>
    <w:rsid w:val="00A85EDD"/>
    <w:rsid w:val="00A86F18"/>
    <w:rsid w:val="00A92532"/>
    <w:rsid w:val="00A92B87"/>
    <w:rsid w:val="00A95964"/>
    <w:rsid w:val="00A97135"/>
    <w:rsid w:val="00AA17D7"/>
    <w:rsid w:val="00AA21F9"/>
    <w:rsid w:val="00AA256D"/>
    <w:rsid w:val="00AA3577"/>
    <w:rsid w:val="00AA4390"/>
    <w:rsid w:val="00AA45D1"/>
    <w:rsid w:val="00AA4B57"/>
    <w:rsid w:val="00AB15C5"/>
    <w:rsid w:val="00AB18CF"/>
    <w:rsid w:val="00AB38DC"/>
    <w:rsid w:val="00AB5576"/>
    <w:rsid w:val="00AB5EA9"/>
    <w:rsid w:val="00AB621F"/>
    <w:rsid w:val="00AB62D5"/>
    <w:rsid w:val="00AC0FAE"/>
    <w:rsid w:val="00AC179D"/>
    <w:rsid w:val="00AC286B"/>
    <w:rsid w:val="00AC3EFD"/>
    <w:rsid w:val="00AC7577"/>
    <w:rsid w:val="00AD3782"/>
    <w:rsid w:val="00AD4BB6"/>
    <w:rsid w:val="00AD658F"/>
    <w:rsid w:val="00AE04CC"/>
    <w:rsid w:val="00AE4131"/>
    <w:rsid w:val="00AF04AB"/>
    <w:rsid w:val="00AF0E24"/>
    <w:rsid w:val="00AF1811"/>
    <w:rsid w:val="00AF32DD"/>
    <w:rsid w:val="00AF6DB2"/>
    <w:rsid w:val="00AF7E40"/>
    <w:rsid w:val="00B00693"/>
    <w:rsid w:val="00B01447"/>
    <w:rsid w:val="00B0576D"/>
    <w:rsid w:val="00B07410"/>
    <w:rsid w:val="00B104C7"/>
    <w:rsid w:val="00B11ADD"/>
    <w:rsid w:val="00B11D1C"/>
    <w:rsid w:val="00B129B4"/>
    <w:rsid w:val="00B16214"/>
    <w:rsid w:val="00B21E79"/>
    <w:rsid w:val="00B245B9"/>
    <w:rsid w:val="00B267BC"/>
    <w:rsid w:val="00B330B3"/>
    <w:rsid w:val="00B33CB7"/>
    <w:rsid w:val="00B34812"/>
    <w:rsid w:val="00B421E3"/>
    <w:rsid w:val="00B436B6"/>
    <w:rsid w:val="00B46DDC"/>
    <w:rsid w:val="00B47D25"/>
    <w:rsid w:val="00B53486"/>
    <w:rsid w:val="00B5508C"/>
    <w:rsid w:val="00B55C13"/>
    <w:rsid w:val="00B57639"/>
    <w:rsid w:val="00B6188C"/>
    <w:rsid w:val="00B62464"/>
    <w:rsid w:val="00B63896"/>
    <w:rsid w:val="00B639AA"/>
    <w:rsid w:val="00B6763C"/>
    <w:rsid w:val="00B7405A"/>
    <w:rsid w:val="00B74BF8"/>
    <w:rsid w:val="00B75F57"/>
    <w:rsid w:val="00B82E27"/>
    <w:rsid w:val="00B860DD"/>
    <w:rsid w:val="00B86D58"/>
    <w:rsid w:val="00B87617"/>
    <w:rsid w:val="00B91502"/>
    <w:rsid w:val="00B9373C"/>
    <w:rsid w:val="00B978E4"/>
    <w:rsid w:val="00BA0E83"/>
    <w:rsid w:val="00BA27C6"/>
    <w:rsid w:val="00BA61BF"/>
    <w:rsid w:val="00BA6219"/>
    <w:rsid w:val="00BB4078"/>
    <w:rsid w:val="00BB6916"/>
    <w:rsid w:val="00BC2166"/>
    <w:rsid w:val="00BC2638"/>
    <w:rsid w:val="00BC2E94"/>
    <w:rsid w:val="00BC38C2"/>
    <w:rsid w:val="00BC4C23"/>
    <w:rsid w:val="00BC5329"/>
    <w:rsid w:val="00BC70D6"/>
    <w:rsid w:val="00BD0A99"/>
    <w:rsid w:val="00BD1CC9"/>
    <w:rsid w:val="00BD275B"/>
    <w:rsid w:val="00BD60F4"/>
    <w:rsid w:val="00BD70EF"/>
    <w:rsid w:val="00BE18C5"/>
    <w:rsid w:val="00BE205A"/>
    <w:rsid w:val="00BE21CE"/>
    <w:rsid w:val="00BE373F"/>
    <w:rsid w:val="00BE4355"/>
    <w:rsid w:val="00BE75F9"/>
    <w:rsid w:val="00BF1105"/>
    <w:rsid w:val="00BF3E78"/>
    <w:rsid w:val="00BF527C"/>
    <w:rsid w:val="00BF54F8"/>
    <w:rsid w:val="00BF66B6"/>
    <w:rsid w:val="00C01F7F"/>
    <w:rsid w:val="00C03070"/>
    <w:rsid w:val="00C052D1"/>
    <w:rsid w:val="00C06AEB"/>
    <w:rsid w:val="00C07BAA"/>
    <w:rsid w:val="00C102FC"/>
    <w:rsid w:val="00C116C8"/>
    <w:rsid w:val="00C11A3A"/>
    <w:rsid w:val="00C136AD"/>
    <w:rsid w:val="00C165AA"/>
    <w:rsid w:val="00C20218"/>
    <w:rsid w:val="00C2105E"/>
    <w:rsid w:val="00C21552"/>
    <w:rsid w:val="00C2246C"/>
    <w:rsid w:val="00C27A1D"/>
    <w:rsid w:val="00C3096D"/>
    <w:rsid w:val="00C30BD9"/>
    <w:rsid w:val="00C35235"/>
    <w:rsid w:val="00C354AC"/>
    <w:rsid w:val="00C36C19"/>
    <w:rsid w:val="00C41169"/>
    <w:rsid w:val="00C42B75"/>
    <w:rsid w:val="00C43103"/>
    <w:rsid w:val="00C433E6"/>
    <w:rsid w:val="00C4461A"/>
    <w:rsid w:val="00C44C20"/>
    <w:rsid w:val="00C46AA1"/>
    <w:rsid w:val="00C641CC"/>
    <w:rsid w:val="00C657E2"/>
    <w:rsid w:val="00C661B2"/>
    <w:rsid w:val="00C70BC3"/>
    <w:rsid w:val="00C71383"/>
    <w:rsid w:val="00C71892"/>
    <w:rsid w:val="00C758EA"/>
    <w:rsid w:val="00C77DF7"/>
    <w:rsid w:val="00C80179"/>
    <w:rsid w:val="00C80D09"/>
    <w:rsid w:val="00C862B6"/>
    <w:rsid w:val="00C86F7E"/>
    <w:rsid w:val="00C91303"/>
    <w:rsid w:val="00C92C11"/>
    <w:rsid w:val="00C92C21"/>
    <w:rsid w:val="00C92DB5"/>
    <w:rsid w:val="00C94F97"/>
    <w:rsid w:val="00C96ECC"/>
    <w:rsid w:val="00CA031E"/>
    <w:rsid w:val="00CA1AFF"/>
    <w:rsid w:val="00CA2E66"/>
    <w:rsid w:val="00CA304B"/>
    <w:rsid w:val="00CA5F9B"/>
    <w:rsid w:val="00CA68E4"/>
    <w:rsid w:val="00CB01A5"/>
    <w:rsid w:val="00CB0AAF"/>
    <w:rsid w:val="00CB1147"/>
    <w:rsid w:val="00CB3BD2"/>
    <w:rsid w:val="00CB4CF6"/>
    <w:rsid w:val="00CB5E57"/>
    <w:rsid w:val="00CB7CF1"/>
    <w:rsid w:val="00CB7F36"/>
    <w:rsid w:val="00CC31CA"/>
    <w:rsid w:val="00CC3CB7"/>
    <w:rsid w:val="00CC46E1"/>
    <w:rsid w:val="00CC5E9A"/>
    <w:rsid w:val="00CC713E"/>
    <w:rsid w:val="00CC7BFF"/>
    <w:rsid w:val="00CD4B60"/>
    <w:rsid w:val="00CD60EF"/>
    <w:rsid w:val="00CE23E7"/>
    <w:rsid w:val="00CE246B"/>
    <w:rsid w:val="00CE34AB"/>
    <w:rsid w:val="00CE6BED"/>
    <w:rsid w:val="00CE771A"/>
    <w:rsid w:val="00CF0314"/>
    <w:rsid w:val="00CF11BB"/>
    <w:rsid w:val="00CF205E"/>
    <w:rsid w:val="00CF2600"/>
    <w:rsid w:val="00CF7AFE"/>
    <w:rsid w:val="00D000E1"/>
    <w:rsid w:val="00D03D22"/>
    <w:rsid w:val="00D05282"/>
    <w:rsid w:val="00D05F65"/>
    <w:rsid w:val="00D155CE"/>
    <w:rsid w:val="00D1657B"/>
    <w:rsid w:val="00D22BA2"/>
    <w:rsid w:val="00D25321"/>
    <w:rsid w:val="00D2599B"/>
    <w:rsid w:val="00D26126"/>
    <w:rsid w:val="00D31F56"/>
    <w:rsid w:val="00D33047"/>
    <w:rsid w:val="00D3315B"/>
    <w:rsid w:val="00D3391E"/>
    <w:rsid w:val="00D45A4D"/>
    <w:rsid w:val="00D46D85"/>
    <w:rsid w:val="00D50B31"/>
    <w:rsid w:val="00D516EC"/>
    <w:rsid w:val="00D52A6D"/>
    <w:rsid w:val="00D54393"/>
    <w:rsid w:val="00D56208"/>
    <w:rsid w:val="00D6021F"/>
    <w:rsid w:val="00D6180B"/>
    <w:rsid w:val="00D63A7D"/>
    <w:rsid w:val="00D661F4"/>
    <w:rsid w:val="00D73E27"/>
    <w:rsid w:val="00D74C12"/>
    <w:rsid w:val="00D81D5D"/>
    <w:rsid w:val="00D81EDF"/>
    <w:rsid w:val="00D86FEA"/>
    <w:rsid w:val="00D92D9C"/>
    <w:rsid w:val="00D940E8"/>
    <w:rsid w:val="00D949B5"/>
    <w:rsid w:val="00D95C1F"/>
    <w:rsid w:val="00D96D6E"/>
    <w:rsid w:val="00DA2756"/>
    <w:rsid w:val="00DA40BE"/>
    <w:rsid w:val="00DB0243"/>
    <w:rsid w:val="00DB1BA1"/>
    <w:rsid w:val="00DB2DB1"/>
    <w:rsid w:val="00DB55B6"/>
    <w:rsid w:val="00DC0C71"/>
    <w:rsid w:val="00DC36A4"/>
    <w:rsid w:val="00DC3E70"/>
    <w:rsid w:val="00DC5C9C"/>
    <w:rsid w:val="00DC61EE"/>
    <w:rsid w:val="00DC697C"/>
    <w:rsid w:val="00DC759C"/>
    <w:rsid w:val="00DC7A0A"/>
    <w:rsid w:val="00DD0237"/>
    <w:rsid w:val="00DD14D0"/>
    <w:rsid w:val="00DD397E"/>
    <w:rsid w:val="00DD430E"/>
    <w:rsid w:val="00DD537A"/>
    <w:rsid w:val="00DD6393"/>
    <w:rsid w:val="00DD6650"/>
    <w:rsid w:val="00DD6AFA"/>
    <w:rsid w:val="00DE305D"/>
    <w:rsid w:val="00DE391D"/>
    <w:rsid w:val="00DF0108"/>
    <w:rsid w:val="00DF025E"/>
    <w:rsid w:val="00DF0AB7"/>
    <w:rsid w:val="00DF1CDF"/>
    <w:rsid w:val="00DF230B"/>
    <w:rsid w:val="00DF442D"/>
    <w:rsid w:val="00DF46F4"/>
    <w:rsid w:val="00DF5E10"/>
    <w:rsid w:val="00DF64A0"/>
    <w:rsid w:val="00DF7275"/>
    <w:rsid w:val="00DF7CE7"/>
    <w:rsid w:val="00DF7D54"/>
    <w:rsid w:val="00E0044A"/>
    <w:rsid w:val="00E02EDD"/>
    <w:rsid w:val="00E05507"/>
    <w:rsid w:val="00E05A50"/>
    <w:rsid w:val="00E05C72"/>
    <w:rsid w:val="00E0691A"/>
    <w:rsid w:val="00E07734"/>
    <w:rsid w:val="00E07D55"/>
    <w:rsid w:val="00E1034E"/>
    <w:rsid w:val="00E13568"/>
    <w:rsid w:val="00E147AF"/>
    <w:rsid w:val="00E149AD"/>
    <w:rsid w:val="00E14E06"/>
    <w:rsid w:val="00E15592"/>
    <w:rsid w:val="00E158BC"/>
    <w:rsid w:val="00E16420"/>
    <w:rsid w:val="00E169D1"/>
    <w:rsid w:val="00E16CE3"/>
    <w:rsid w:val="00E16EE9"/>
    <w:rsid w:val="00E2026F"/>
    <w:rsid w:val="00E2676C"/>
    <w:rsid w:val="00E3067C"/>
    <w:rsid w:val="00E332E8"/>
    <w:rsid w:val="00E33C7F"/>
    <w:rsid w:val="00E3552C"/>
    <w:rsid w:val="00E3668D"/>
    <w:rsid w:val="00E36CE2"/>
    <w:rsid w:val="00E41045"/>
    <w:rsid w:val="00E41A76"/>
    <w:rsid w:val="00E42C57"/>
    <w:rsid w:val="00E42D53"/>
    <w:rsid w:val="00E43473"/>
    <w:rsid w:val="00E50FB3"/>
    <w:rsid w:val="00E51631"/>
    <w:rsid w:val="00E54777"/>
    <w:rsid w:val="00E54965"/>
    <w:rsid w:val="00E54E6E"/>
    <w:rsid w:val="00E551B7"/>
    <w:rsid w:val="00E55FF9"/>
    <w:rsid w:val="00E572CE"/>
    <w:rsid w:val="00E6075B"/>
    <w:rsid w:val="00E6230B"/>
    <w:rsid w:val="00E64687"/>
    <w:rsid w:val="00E64CAF"/>
    <w:rsid w:val="00E65977"/>
    <w:rsid w:val="00E66F22"/>
    <w:rsid w:val="00E67459"/>
    <w:rsid w:val="00E7100B"/>
    <w:rsid w:val="00E729A7"/>
    <w:rsid w:val="00E81595"/>
    <w:rsid w:val="00E81EFA"/>
    <w:rsid w:val="00E8471B"/>
    <w:rsid w:val="00E84F2E"/>
    <w:rsid w:val="00E857AA"/>
    <w:rsid w:val="00E85855"/>
    <w:rsid w:val="00E86202"/>
    <w:rsid w:val="00E9172A"/>
    <w:rsid w:val="00E921DE"/>
    <w:rsid w:val="00E97289"/>
    <w:rsid w:val="00E977A6"/>
    <w:rsid w:val="00E97F50"/>
    <w:rsid w:val="00EA2221"/>
    <w:rsid w:val="00EA31F0"/>
    <w:rsid w:val="00EA3692"/>
    <w:rsid w:val="00EA43A7"/>
    <w:rsid w:val="00EA767D"/>
    <w:rsid w:val="00EB0451"/>
    <w:rsid w:val="00EB0E5E"/>
    <w:rsid w:val="00EB1186"/>
    <w:rsid w:val="00EB2E89"/>
    <w:rsid w:val="00EB468F"/>
    <w:rsid w:val="00EB6150"/>
    <w:rsid w:val="00EC3F3B"/>
    <w:rsid w:val="00EC64A9"/>
    <w:rsid w:val="00ED093E"/>
    <w:rsid w:val="00ED189C"/>
    <w:rsid w:val="00ED1AD4"/>
    <w:rsid w:val="00ED1E7B"/>
    <w:rsid w:val="00ED2FA4"/>
    <w:rsid w:val="00ED316E"/>
    <w:rsid w:val="00ED370C"/>
    <w:rsid w:val="00ED41A2"/>
    <w:rsid w:val="00ED43DF"/>
    <w:rsid w:val="00ED67F8"/>
    <w:rsid w:val="00ED6ABF"/>
    <w:rsid w:val="00ED7EB3"/>
    <w:rsid w:val="00EE1DBE"/>
    <w:rsid w:val="00EE2883"/>
    <w:rsid w:val="00EE3C26"/>
    <w:rsid w:val="00EE52D0"/>
    <w:rsid w:val="00EE5372"/>
    <w:rsid w:val="00EE5FDE"/>
    <w:rsid w:val="00EE6655"/>
    <w:rsid w:val="00EE6698"/>
    <w:rsid w:val="00EE7251"/>
    <w:rsid w:val="00EE7E9B"/>
    <w:rsid w:val="00EF0338"/>
    <w:rsid w:val="00EF4E84"/>
    <w:rsid w:val="00EF559A"/>
    <w:rsid w:val="00EF6C33"/>
    <w:rsid w:val="00EF7D32"/>
    <w:rsid w:val="00F00A0E"/>
    <w:rsid w:val="00F07ECE"/>
    <w:rsid w:val="00F10CE1"/>
    <w:rsid w:val="00F15885"/>
    <w:rsid w:val="00F214EA"/>
    <w:rsid w:val="00F22F0D"/>
    <w:rsid w:val="00F2417E"/>
    <w:rsid w:val="00F26A2F"/>
    <w:rsid w:val="00F2762A"/>
    <w:rsid w:val="00F34CAF"/>
    <w:rsid w:val="00F44F8E"/>
    <w:rsid w:val="00F45F4C"/>
    <w:rsid w:val="00F47964"/>
    <w:rsid w:val="00F50E4B"/>
    <w:rsid w:val="00F52F5A"/>
    <w:rsid w:val="00F5675A"/>
    <w:rsid w:val="00F56C72"/>
    <w:rsid w:val="00F578F7"/>
    <w:rsid w:val="00F60148"/>
    <w:rsid w:val="00F61642"/>
    <w:rsid w:val="00F61D6A"/>
    <w:rsid w:val="00F62C5E"/>
    <w:rsid w:val="00F63BDD"/>
    <w:rsid w:val="00F64A47"/>
    <w:rsid w:val="00F64AE0"/>
    <w:rsid w:val="00F64D3E"/>
    <w:rsid w:val="00F6731C"/>
    <w:rsid w:val="00F7052D"/>
    <w:rsid w:val="00F70617"/>
    <w:rsid w:val="00F7205D"/>
    <w:rsid w:val="00F734D9"/>
    <w:rsid w:val="00F737D9"/>
    <w:rsid w:val="00F73A04"/>
    <w:rsid w:val="00F75E28"/>
    <w:rsid w:val="00F776E5"/>
    <w:rsid w:val="00F777E3"/>
    <w:rsid w:val="00F82116"/>
    <w:rsid w:val="00F822AD"/>
    <w:rsid w:val="00F831FF"/>
    <w:rsid w:val="00F85ECC"/>
    <w:rsid w:val="00F87678"/>
    <w:rsid w:val="00F876A7"/>
    <w:rsid w:val="00F92A68"/>
    <w:rsid w:val="00F93E85"/>
    <w:rsid w:val="00F954BD"/>
    <w:rsid w:val="00FA1957"/>
    <w:rsid w:val="00FA31B3"/>
    <w:rsid w:val="00FA5132"/>
    <w:rsid w:val="00FA5C29"/>
    <w:rsid w:val="00FA68B9"/>
    <w:rsid w:val="00FB17BF"/>
    <w:rsid w:val="00FB3189"/>
    <w:rsid w:val="00FB3D82"/>
    <w:rsid w:val="00FB4402"/>
    <w:rsid w:val="00FC1F61"/>
    <w:rsid w:val="00FC47FD"/>
    <w:rsid w:val="00FD32F6"/>
    <w:rsid w:val="00FD6DF3"/>
    <w:rsid w:val="00FE01B8"/>
    <w:rsid w:val="00FE2991"/>
    <w:rsid w:val="00FE4DF6"/>
    <w:rsid w:val="00FE593E"/>
    <w:rsid w:val="00FE71A0"/>
    <w:rsid w:val="00FE7F69"/>
    <w:rsid w:val="00FF0B92"/>
    <w:rsid w:val="00FF23F8"/>
    <w:rsid w:val="00FF31F9"/>
    <w:rsid w:val="00FF5E6C"/>
    <w:rsid w:val="00FF6CB2"/>
    <w:rsid w:val="00FF7561"/>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EE5A4E"/>
  <w15:chartTrackingRefBased/>
  <w15:docId w15:val="{ED57C82E-5453-496D-BC11-979E58821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621F"/>
  </w:style>
  <w:style w:type="paragraph" w:styleId="Ttulo1">
    <w:name w:val="heading 1"/>
    <w:aliases w:val="Capitulos"/>
    <w:basedOn w:val="Normal"/>
    <w:next w:val="Normal"/>
    <w:link w:val="Ttulo1Car"/>
    <w:uiPriority w:val="9"/>
    <w:qFormat/>
    <w:rsid w:val="00312D49"/>
    <w:pPr>
      <w:keepNext/>
      <w:keepLines/>
      <w:spacing w:before="360" w:after="360"/>
      <w:outlineLvl w:val="0"/>
    </w:pPr>
    <w:rPr>
      <w:rFonts w:ascii="Times New Roman" w:eastAsiaTheme="majorEastAsia" w:hAnsi="Times New Roman" w:cstheme="majorBidi"/>
      <w:b/>
      <w:sz w:val="28"/>
      <w:szCs w:val="24"/>
    </w:rPr>
  </w:style>
  <w:style w:type="paragraph" w:styleId="Ttulo2">
    <w:name w:val="heading 2"/>
    <w:aliases w:val="TITULOS"/>
    <w:basedOn w:val="Normal"/>
    <w:next w:val="Normal"/>
    <w:link w:val="Ttulo2Car"/>
    <w:uiPriority w:val="9"/>
    <w:unhideWhenUsed/>
    <w:qFormat/>
    <w:rsid w:val="00312D49"/>
    <w:pPr>
      <w:keepNext/>
      <w:keepLines/>
      <w:numPr>
        <w:numId w:val="3"/>
      </w:numPr>
      <w:spacing w:before="360" w:after="360"/>
      <w:ind w:left="357" w:hanging="357"/>
      <w:outlineLvl w:val="1"/>
    </w:pPr>
    <w:rPr>
      <w:rFonts w:ascii="Times New Roman" w:eastAsiaTheme="majorEastAsia" w:hAnsi="Times New Roman" w:cstheme="majorBidi"/>
      <w:b/>
      <w:sz w:val="28"/>
      <w:szCs w:val="26"/>
    </w:rPr>
  </w:style>
  <w:style w:type="paragraph" w:styleId="Ttulo3">
    <w:name w:val="heading 3"/>
    <w:aliases w:val="SUBTITULO"/>
    <w:basedOn w:val="Normal"/>
    <w:next w:val="Normal"/>
    <w:link w:val="Ttulo3Car"/>
    <w:uiPriority w:val="9"/>
    <w:unhideWhenUsed/>
    <w:qFormat/>
    <w:rsid w:val="006D790D"/>
    <w:pPr>
      <w:keepNext/>
      <w:keepLines/>
      <w:spacing w:before="360" w:after="360"/>
      <w:outlineLvl w:val="2"/>
    </w:pPr>
    <w:rPr>
      <w:rFonts w:asciiTheme="majorHAnsi" w:eastAsiaTheme="majorEastAsia" w:hAnsiTheme="majorHAnsi" w:cstheme="majorBidi"/>
      <w:b/>
      <w:i/>
      <w:sz w:val="24"/>
      <w:szCs w:val="24"/>
    </w:rPr>
  </w:style>
  <w:style w:type="paragraph" w:styleId="Ttulo4">
    <w:name w:val="heading 4"/>
    <w:aliases w:val="SUBSUBTITULO"/>
    <w:basedOn w:val="Normal"/>
    <w:next w:val="Normal"/>
    <w:link w:val="Ttulo4Car"/>
    <w:uiPriority w:val="9"/>
    <w:unhideWhenUsed/>
    <w:qFormat/>
    <w:rsid w:val="00860D29"/>
    <w:pPr>
      <w:keepNext/>
      <w:keepLines/>
      <w:spacing w:before="360" w:after="360"/>
      <w:outlineLvl w:val="3"/>
    </w:pPr>
    <w:rPr>
      <w:rFonts w:asciiTheme="majorHAnsi" w:eastAsiaTheme="majorEastAsia" w:hAnsiTheme="majorHAnsi" w:cstheme="majorBidi"/>
      <w:b/>
      <w:i/>
      <w:iCs/>
      <w:sz w:val="24"/>
      <w:u w:val="single"/>
    </w:rPr>
  </w:style>
  <w:style w:type="paragraph" w:styleId="Ttulo5">
    <w:name w:val="heading 5"/>
    <w:aliases w:val="3SUBTITULO"/>
    <w:basedOn w:val="Normal"/>
    <w:next w:val="Normal"/>
    <w:link w:val="Ttulo5Car"/>
    <w:uiPriority w:val="9"/>
    <w:unhideWhenUsed/>
    <w:qFormat/>
    <w:rsid w:val="00860D29"/>
    <w:pPr>
      <w:keepNext/>
      <w:keepLines/>
      <w:spacing w:before="360" w:after="360"/>
      <w:outlineLvl w:val="4"/>
    </w:pPr>
    <w:rPr>
      <w:rFonts w:asciiTheme="majorHAnsi" w:eastAsiaTheme="majorEastAsia" w:hAnsiTheme="majorHAnsi" w:cstheme="majorBidi"/>
      <w:i/>
      <w:sz w:val="24"/>
    </w:rPr>
  </w:style>
  <w:style w:type="paragraph" w:styleId="Ttulo6">
    <w:name w:val="heading 6"/>
    <w:aliases w:val="4subtitulo"/>
    <w:basedOn w:val="Normal"/>
    <w:next w:val="Normal"/>
    <w:link w:val="Ttulo6Car"/>
    <w:uiPriority w:val="9"/>
    <w:unhideWhenUsed/>
    <w:qFormat/>
    <w:rsid w:val="00341F5F"/>
    <w:pPr>
      <w:keepNext/>
      <w:keepLines/>
      <w:spacing w:before="360" w:after="360"/>
      <w:outlineLvl w:val="5"/>
    </w:pPr>
    <w:rPr>
      <w:rFonts w:asciiTheme="majorHAnsi" w:eastAsiaTheme="majorEastAsia" w:hAnsiTheme="majorHAnsi" w:cstheme="majorBidi"/>
      <w:i/>
      <w:sz w:val="24"/>
      <w:u w:val="single"/>
    </w:rPr>
  </w:style>
  <w:style w:type="paragraph" w:styleId="Ttulo7">
    <w:name w:val="heading 7"/>
    <w:aliases w:val="Inicio"/>
    <w:basedOn w:val="Normal"/>
    <w:next w:val="Normal"/>
    <w:link w:val="Ttulo7Car"/>
    <w:uiPriority w:val="9"/>
    <w:unhideWhenUsed/>
    <w:qFormat/>
    <w:rsid w:val="001B7ACB"/>
    <w:pPr>
      <w:keepNext/>
      <w:keepLines/>
      <w:spacing w:before="40" w:after="0" w:line="360" w:lineRule="auto"/>
      <w:outlineLvl w:val="6"/>
    </w:pPr>
    <w:rPr>
      <w:rFonts w:ascii="Times New Roman" w:eastAsiaTheme="majorEastAsia" w:hAnsi="Times New Roman" w:cstheme="majorBidi"/>
      <w:b/>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Capitulos Car"/>
    <w:basedOn w:val="Fuentedeprrafopredeter"/>
    <w:link w:val="Ttulo1"/>
    <w:uiPriority w:val="9"/>
    <w:rsid w:val="00312D49"/>
    <w:rPr>
      <w:rFonts w:ascii="Times New Roman" w:eastAsiaTheme="majorEastAsia" w:hAnsi="Times New Roman" w:cstheme="majorBidi"/>
      <w:b/>
      <w:sz w:val="28"/>
      <w:szCs w:val="24"/>
    </w:rPr>
  </w:style>
  <w:style w:type="paragraph" w:styleId="Subttulo">
    <w:name w:val="Subtitle"/>
    <w:basedOn w:val="Normal"/>
    <w:next w:val="Normal"/>
    <w:link w:val="SubttuloCar"/>
    <w:uiPriority w:val="11"/>
    <w:qFormat/>
    <w:rsid w:val="0043041C"/>
    <w:pPr>
      <w:numPr>
        <w:numId w:val="1"/>
      </w:numPr>
    </w:pPr>
    <w:rPr>
      <w:rFonts w:eastAsiaTheme="minorEastAsia"/>
      <w:b/>
      <w:spacing w:val="15"/>
      <w:sz w:val="24"/>
      <w:szCs w:val="24"/>
    </w:rPr>
  </w:style>
  <w:style w:type="character" w:customStyle="1" w:styleId="SubttuloCar">
    <w:name w:val="Subtítulo Car"/>
    <w:basedOn w:val="Fuentedeprrafopredeter"/>
    <w:link w:val="Subttulo"/>
    <w:uiPriority w:val="11"/>
    <w:rsid w:val="0043041C"/>
    <w:rPr>
      <w:rFonts w:eastAsiaTheme="minorEastAsia"/>
      <w:b/>
      <w:spacing w:val="15"/>
      <w:sz w:val="24"/>
      <w:szCs w:val="24"/>
    </w:rPr>
  </w:style>
  <w:style w:type="paragraph" w:styleId="TtuloTDC">
    <w:name w:val="TOC Heading"/>
    <w:basedOn w:val="Ttulo1"/>
    <w:next w:val="Normal"/>
    <w:uiPriority w:val="39"/>
    <w:unhideWhenUsed/>
    <w:qFormat/>
    <w:rsid w:val="0043041C"/>
    <w:pPr>
      <w:outlineLvl w:val="9"/>
    </w:pPr>
    <w:rPr>
      <w:b w:val="0"/>
      <w:color w:val="2E74B5" w:themeColor="accent1" w:themeShade="BF"/>
      <w:sz w:val="32"/>
      <w:szCs w:val="32"/>
      <w:lang w:eastAsia="es-EC"/>
    </w:rPr>
  </w:style>
  <w:style w:type="paragraph" w:styleId="TDC1">
    <w:name w:val="toc 1"/>
    <w:basedOn w:val="Normal"/>
    <w:next w:val="Normal"/>
    <w:autoRedefine/>
    <w:uiPriority w:val="39"/>
    <w:unhideWhenUsed/>
    <w:rsid w:val="0043041C"/>
    <w:pPr>
      <w:spacing w:before="120" w:after="120"/>
    </w:pPr>
    <w:rPr>
      <w:b/>
      <w:bCs/>
      <w:caps/>
      <w:sz w:val="20"/>
      <w:szCs w:val="20"/>
    </w:rPr>
  </w:style>
  <w:style w:type="character" w:styleId="Hipervnculo">
    <w:name w:val="Hyperlink"/>
    <w:basedOn w:val="Fuentedeprrafopredeter"/>
    <w:uiPriority w:val="99"/>
    <w:unhideWhenUsed/>
    <w:rsid w:val="0043041C"/>
    <w:rPr>
      <w:color w:val="0563C1" w:themeColor="hyperlink"/>
      <w:u w:val="single"/>
    </w:rPr>
  </w:style>
  <w:style w:type="table" w:styleId="Tablanormal1">
    <w:name w:val="Plain Table 1"/>
    <w:basedOn w:val="Tablanormal"/>
    <w:uiPriority w:val="41"/>
    <w:rsid w:val="00345D8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rrafodelista">
    <w:name w:val="List Paragraph"/>
    <w:basedOn w:val="Normal"/>
    <w:uiPriority w:val="34"/>
    <w:qFormat/>
    <w:rsid w:val="00F34CAF"/>
    <w:pPr>
      <w:ind w:left="720"/>
      <w:contextualSpacing/>
    </w:pPr>
  </w:style>
  <w:style w:type="character" w:styleId="Refdecomentario">
    <w:name w:val="annotation reference"/>
    <w:basedOn w:val="Fuentedeprrafopredeter"/>
    <w:uiPriority w:val="99"/>
    <w:semiHidden/>
    <w:unhideWhenUsed/>
    <w:rsid w:val="004D6283"/>
    <w:rPr>
      <w:sz w:val="16"/>
      <w:szCs w:val="16"/>
    </w:rPr>
  </w:style>
  <w:style w:type="paragraph" w:styleId="Textocomentario">
    <w:name w:val="annotation text"/>
    <w:basedOn w:val="Normal"/>
    <w:link w:val="TextocomentarioCar"/>
    <w:uiPriority w:val="99"/>
    <w:semiHidden/>
    <w:unhideWhenUsed/>
    <w:rsid w:val="004D628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D6283"/>
    <w:rPr>
      <w:sz w:val="20"/>
      <w:szCs w:val="20"/>
    </w:rPr>
  </w:style>
  <w:style w:type="paragraph" w:styleId="Asuntodelcomentario">
    <w:name w:val="annotation subject"/>
    <w:basedOn w:val="Textocomentario"/>
    <w:next w:val="Textocomentario"/>
    <w:link w:val="AsuntodelcomentarioCar"/>
    <w:uiPriority w:val="99"/>
    <w:semiHidden/>
    <w:unhideWhenUsed/>
    <w:rsid w:val="004D6283"/>
    <w:rPr>
      <w:b/>
      <w:bCs/>
    </w:rPr>
  </w:style>
  <w:style w:type="character" w:customStyle="1" w:styleId="AsuntodelcomentarioCar">
    <w:name w:val="Asunto del comentario Car"/>
    <w:basedOn w:val="TextocomentarioCar"/>
    <w:link w:val="Asuntodelcomentario"/>
    <w:uiPriority w:val="99"/>
    <w:semiHidden/>
    <w:rsid w:val="004D6283"/>
    <w:rPr>
      <w:b/>
      <w:bCs/>
      <w:sz w:val="20"/>
      <w:szCs w:val="20"/>
    </w:rPr>
  </w:style>
  <w:style w:type="paragraph" w:styleId="Textodeglobo">
    <w:name w:val="Balloon Text"/>
    <w:basedOn w:val="Normal"/>
    <w:link w:val="TextodegloboCar"/>
    <w:uiPriority w:val="99"/>
    <w:semiHidden/>
    <w:unhideWhenUsed/>
    <w:rsid w:val="004D628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D6283"/>
    <w:rPr>
      <w:rFonts w:ascii="Segoe UI" w:hAnsi="Segoe UI" w:cs="Segoe UI"/>
      <w:sz w:val="18"/>
      <w:szCs w:val="18"/>
    </w:rPr>
  </w:style>
  <w:style w:type="character" w:styleId="Textodelmarcadordeposicin">
    <w:name w:val="Placeholder Text"/>
    <w:basedOn w:val="Fuentedeprrafopredeter"/>
    <w:uiPriority w:val="99"/>
    <w:semiHidden/>
    <w:rsid w:val="00851854"/>
    <w:rPr>
      <w:color w:val="808080"/>
    </w:rPr>
  </w:style>
  <w:style w:type="table" w:customStyle="1" w:styleId="TableNormal">
    <w:name w:val="Table Normal"/>
    <w:uiPriority w:val="2"/>
    <w:semiHidden/>
    <w:unhideWhenUsed/>
    <w:qFormat/>
    <w:rsid w:val="00E05A5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05A50"/>
    <w:pPr>
      <w:widowControl w:val="0"/>
      <w:autoSpaceDE w:val="0"/>
      <w:autoSpaceDN w:val="0"/>
      <w:spacing w:after="0" w:line="240" w:lineRule="auto"/>
    </w:pPr>
    <w:rPr>
      <w:rFonts w:ascii="Times New Roman" w:eastAsia="Times New Roman" w:hAnsi="Times New Roman" w:cs="Times New Roman"/>
      <w:lang w:eastAsia="es-EC" w:bidi="es-EC"/>
    </w:rPr>
  </w:style>
  <w:style w:type="paragraph" w:styleId="Encabezado">
    <w:name w:val="header"/>
    <w:basedOn w:val="Normal"/>
    <w:link w:val="EncabezadoCar"/>
    <w:uiPriority w:val="99"/>
    <w:unhideWhenUsed/>
    <w:rsid w:val="00386DE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86DEF"/>
  </w:style>
  <w:style w:type="paragraph" w:styleId="Piedepgina">
    <w:name w:val="footer"/>
    <w:basedOn w:val="Normal"/>
    <w:link w:val="PiedepginaCar"/>
    <w:uiPriority w:val="99"/>
    <w:unhideWhenUsed/>
    <w:rsid w:val="00386DE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86DEF"/>
  </w:style>
  <w:style w:type="paragraph" w:styleId="Descripcin">
    <w:name w:val="caption"/>
    <w:basedOn w:val="Normal"/>
    <w:next w:val="Normal"/>
    <w:uiPriority w:val="35"/>
    <w:unhideWhenUsed/>
    <w:qFormat/>
    <w:rsid w:val="004A0442"/>
    <w:pPr>
      <w:spacing w:after="200" w:line="240" w:lineRule="auto"/>
    </w:pPr>
    <w:rPr>
      <w:i/>
      <w:iCs/>
      <w:color w:val="44546A" w:themeColor="text2"/>
      <w:sz w:val="18"/>
      <w:szCs w:val="18"/>
    </w:rPr>
  </w:style>
  <w:style w:type="table" w:styleId="Tablaconcuadrcula">
    <w:name w:val="Table Grid"/>
    <w:basedOn w:val="Tablanormal"/>
    <w:uiPriority w:val="39"/>
    <w:rsid w:val="00626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F61642"/>
  </w:style>
  <w:style w:type="character" w:customStyle="1" w:styleId="Ttulo2Car">
    <w:name w:val="Título 2 Car"/>
    <w:aliases w:val="TITULOS Car"/>
    <w:basedOn w:val="Fuentedeprrafopredeter"/>
    <w:link w:val="Ttulo2"/>
    <w:uiPriority w:val="9"/>
    <w:rsid w:val="00312D49"/>
    <w:rPr>
      <w:rFonts w:ascii="Times New Roman" w:eastAsiaTheme="majorEastAsia" w:hAnsi="Times New Roman" w:cstheme="majorBidi"/>
      <w:b/>
      <w:sz w:val="28"/>
      <w:szCs w:val="26"/>
    </w:rPr>
  </w:style>
  <w:style w:type="character" w:customStyle="1" w:styleId="Ttulo3Car">
    <w:name w:val="Título 3 Car"/>
    <w:aliases w:val="SUBTITULO Car"/>
    <w:basedOn w:val="Fuentedeprrafopredeter"/>
    <w:link w:val="Ttulo3"/>
    <w:uiPriority w:val="9"/>
    <w:rsid w:val="006D790D"/>
    <w:rPr>
      <w:rFonts w:asciiTheme="majorHAnsi" w:eastAsiaTheme="majorEastAsia" w:hAnsiTheme="majorHAnsi" w:cstheme="majorBidi"/>
      <w:b/>
      <w:i/>
      <w:sz w:val="24"/>
      <w:szCs w:val="24"/>
    </w:rPr>
  </w:style>
  <w:style w:type="character" w:customStyle="1" w:styleId="Ttulo4Car">
    <w:name w:val="Título 4 Car"/>
    <w:aliases w:val="SUBSUBTITULO Car"/>
    <w:basedOn w:val="Fuentedeprrafopredeter"/>
    <w:link w:val="Ttulo4"/>
    <w:uiPriority w:val="9"/>
    <w:rsid w:val="003237C6"/>
    <w:rPr>
      <w:rFonts w:asciiTheme="majorHAnsi" w:eastAsiaTheme="majorEastAsia" w:hAnsiTheme="majorHAnsi" w:cstheme="majorBidi"/>
      <w:b/>
      <w:i/>
      <w:iCs/>
      <w:sz w:val="24"/>
      <w:u w:val="single"/>
    </w:rPr>
  </w:style>
  <w:style w:type="character" w:customStyle="1" w:styleId="Ttulo5Car">
    <w:name w:val="Título 5 Car"/>
    <w:aliases w:val="3SUBTITULO Car"/>
    <w:basedOn w:val="Fuentedeprrafopredeter"/>
    <w:link w:val="Ttulo5"/>
    <w:uiPriority w:val="9"/>
    <w:rsid w:val="003237C6"/>
    <w:rPr>
      <w:rFonts w:asciiTheme="majorHAnsi" w:eastAsiaTheme="majorEastAsia" w:hAnsiTheme="majorHAnsi" w:cstheme="majorBidi"/>
      <w:i/>
      <w:sz w:val="24"/>
    </w:rPr>
  </w:style>
  <w:style w:type="paragraph" w:styleId="TDC2">
    <w:name w:val="toc 2"/>
    <w:basedOn w:val="Normal"/>
    <w:next w:val="Normal"/>
    <w:autoRedefine/>
    <w:uiPriority w:val="39"/>
    <w:unhideWhenUsed/>
    <w:rsid w:val="003237C6"/>
    <w:pPr>
      <w:spacing w:after="0"/>
      <w:ind w:left="220"/>
    </w:pPr>
    <w:rPr>
      <w:smallCaps/>
      <w:sz w:val="20"/>
      <w:szCs w:val="20"/>
    </w:rPr>
  </w:style>
  <w:style w:type="paragraph" w:styleId="TDC3">
    <w:name w:val="toc 3"/>
    <w:basedOn w:val="Normal"/>
    <w:next w:val="Normal"/>
    <w:autoRedefine/>
    <w:uiPriority w:val="39"/>
    <w:unhideWhenUsed/>
    <w:rsid w:val="003237C6"/>
    <w:pPr>
      <w:spacing w:after="0"/>
      <w:ind w:left="440"/>
    </w:pPr>
    <w:rPr>
      <w:i/>
      <w:iCs/>
      <w:sz w:val="20"/>
      <w:szCs w:val="20"/>
    </w:rPr>
  </w:style>
  <w:style w:type="paragraph" w:styleId="TDC4">
    <w:name w:val="toc 4"/>
    <w:basedOn w:val="Normal"/>
    <w:next w:val="Normal"/>
    <w:autoRedefine/>
    <w:uiPriority w:val="39"/>
    <w:unhideWhenUsed/>
    <w:rsid w:val="00AD658F"/>
    <w:pPr>
      <w:spacing w:after="0"/>
      <w:ind w:left="660"/>
    </w:pPr>
    <w:rPr>
      <w:sz w:val="18"/>
      <w:szCs w:val="18"/>
    </w:rPr>
  </w:style>
  <w:style w:type="paragraph" w:styleId="TDC5">
    <w:name w:val="toc 5"/>
    <w:basedOn w:val="Normal"/>
    <w:next w:val="Normal"/>
    <w:autoRedefine/>
    <w:uiPriority w:val="39"/>
    <w:unhideWhenUsed/>
    <w:rsid w:val="00AD658F"/>
    <w:pPr>
      <w:spacing w:after="0"/>
      <w:ind w:left="880"/>
    </w:pPr>
    <w:rPr>
      <w:sz w:val="18"/>
      <w:szCs w:val="18"/>
    </w:rPr>
  </w:style>
  <w:style w:type="paragraph" w:styleId="TDC6">
    <w:name w:val="toc 6"/>
    <w:basedOn w:val="Normal"/>
    <w:next w:val="Normal"/>
    <w:autoRedefine/>
    <w:uiPriority w:val="39"/>
    <w:unhideWhenUsed/>
    <w:rsid w:val="00AD658F"/>
    <w:pPr>
      <w:spacing w:after="0"/>
      <w:ind w:left="1100"/>
    </w:pPr>
    <w:rPr>
      <w:sz w:val="18"/>
      <w:szCs w:val="18"/>
    </w:rPr>
  </w:style>
  <w:style w:type="paragraph" w:styleId="TDC7">
    <w:name w:val="toc 7"/>
    <w:basedOn w:val="Normal"/>
    <w:next w:val="Normal"/>
    <w:autoRedefine/>
    <w:uiPriority w:val="39"/>
    <w:unhideWhenUsed/>
    <w:rsid w:val="00AD658F"/>
    <w:pPr>
      <w:spacing w:after="0"/>
      <w:ind w:left="1320"/>
    </w:pPr>
    <w:rPr>
      <w:sz w:val="18"/>
      <w:szCs w:val="18"/>
    </w:rPr>
  </w:style>
  <w:style w:type="paragraph" w:styleId="TDC8">
    <w:name w:val="toc 8"/>
    <w:basedOn w:val="Normal"/>
    <w:next w:val="Normal"/>
    <w:autoRedefine/>
    <w:uiPriority w:val="39"/>
    <w:unhideWhenUsed/>
    <w:rsid w:val="00AD658F"/>
    <w:pPr>
      <w:spacing w:after="0"/>
      <w:ind w:left="1540"/>
    </w:pPr>
    <w:rPr>
      <w:sz w:val="18"/>
      <w:szCs w:val="18"/>
    </w:rPr>
  </w:style>
  <w:style w:type="paragraph" w:styleId="TDC9">
    <w:name w:val="toc 9"/>
    <w:basedOn w:val="Normal"/>
    <w:next w:val="Normal"/>
    <w:autoRedefine/>
    <w:uiPriority w:val="39"/>
    <w:unhideWhenUsed/>
    <w:rsid w:val="00AD658F"/>
    <w:pPr>
      <w:spacing w:after="0"/>
      <w:ind w:left="1760"/>
    </w:pPr>
    <w:rPr>
      <w:sz w:val="18"/>
      <w:szCs w:val="18"/>
    </w:rPr>
  </w:style>
  <w:style w:type="character" w:customStyle="1" w:styleId="Ttulo6Car">
    <w:name w:val="Título 6 Car"/>
    <w:aliases w:val="4subtitulo Car"/>
    <w:basedOn w:val="Fuentedeprrafopredeter"/>
    <w:link w:val="Ttulo6"/>
    <w:uiPriority w:val="9"/>
    <w:rsid w:val="00341F5F"/>
    <w:rPr>
      <w:rFonts w:asciiTheme="majorHAnsi" w:eastAsiaTheme="majorEastAsia" w:hAnsiTheme="majorHAnsi" w:cstheme="majorBidi"/>
      <w:i/>
      <w:sz w:val="24"/>
      <w:u w:val="single"/>
    </w:rPr>
  </w:style>
  <w:style w:type="paragraph" w:styleId="Tabladeilustraciones">
    <w:name w:val="table of figures"/>
    <w:basedOn w:val="Normal"/>
    <w:next w:val="Normal"/>
    <w:uiPriority w:val="99"/>
    <w:unhideWhenUsed/>
    <w:rsid w:val="006A1F1D"/>
    <w:pPr>
      <w:spacing w:after="0"/>
      <w:ind w:left="440" w:hanging="440"/>
    </w:pPr>
    <w:rPr>
      <w:smallCaps/>
      <w:sz w:val="20"/>
      <w:szCs w:val="20"/>
    </w:rPr>
  </w:style>
  <w:style w:type="character" w:styleId="Hipervnculovisitado">
    <w:name w:val="FollowedHyperlink"/>
    <w:basedOn w:val="Fuentedeprrafopredeter"/>
    <w:uiPriority w:val="99"/>
    <w:semiHidden/>
    <w:unhideWhenUsed/>
    <w:rsid w:val="004A443C"/>
    <w:rPr>
      <w:color w:val="954F72" w:themeColor="followedHyperlink"/>
      <w:u w:val="single"/>
    </w:rPr>
  </w:style>
  <w:style w:type="paragraph" w:customStyle="1" w:styleId="Default">
    <w:name w:val="Default"/>
    <w:rsid w:val="00CC46E1"/>
    <w:pPr>
      <w:autoSpaceDE w:val="0"/>
      <w:autoSpaceDN w:val="0"/>
      <w:adjustRightInd w:val="0"/>
      <w:spacing w:after="0" w:line="240" w:lineRule="auto"/>
    </w:pPr>
    <w:rPr>
      <w:rFonts w:ascii="Times New Roman" w:hAnsi="Times New Roman" w:cs="Times New Roman"/>
      <w:color w:val="000000"/>
      <w:sz w:val="24"/>
      <w:szCs w:val="24"/>
      <w:lang w:val="es-ES"/>
    </w:rPr>
  </w:style>
  <w:style w:type="character" w:customStyle="1" w:styleId="Ttulo7Car">
    <w:name w:val="Título 7 Car"/>
    <w:aliases w:val="Inicio Car"/>
    <w:basedOn w:val="Fuentedeprrafopredeter"/>
    <w:link w:val="Ttulo7"/>
    <w:uiPriority w:val="9"/>
    <w:rsid w:val="001B7ACB"/>
    <w:rPr>
      <w:rFonts w:ascii="Times New Roman" w:eastAsiaTheme="majorEastAsia" w:hAnsi="Times New Roman" w:cstheme="majorBidi"/>
      <w:b/>
      <w:iCs/>
      <w:sz w:val="24"/>
    </w:rPr>
  </w:style>
  <w:style w:type="paragraph" w:styleId="NormalWeb">
    <w:name w:val="Normal (Web)"/>
    <w:basedOn w:val="Normal"/>
    <w:uiPriority w:val="99"/>
    <w:semiHidden/>
    <w:unhideWhenUsed/>
    <w:rsid w:val="001E4621"/>
    <w:pPr>
      <w:spacing w:before="100" w:beforeAutospacing="1" w:after="100" w:afterAutospacing="1" w:line="240" w:lineRule="auto"/>
    </w:pPr>
    <w:rPr>
      <w:rFonts w:ascii="Times New Roman" w:eastAsia="Times New Roman" w:hAnsi="Times New Roman" w:cs="Times New Roman"/>
      <w:sz w:val="24"/>
      <w:szCs w:val="24"/>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6778">
      <w:bodyDiv w:val="1"/>
      <w:marLeft w:val="0"/>
      <w:marRight w:val="0"/>
      <w:marTop w:val="0"/>
      <w:marBottom w:val="0"/>
      <w:divBdr>
        <w:top w:val="none" w:sz="0" w:space="0" w:color="auto"/>
        <w:left w:val="none" w:sz="0" w:space="0" w:color="auto"/>
        <w:bottom w:val="none" w:sz="0" w:space="0" w:color="auto"/>
        <w:right w:val="none" w:sz="0" w:space="0" w:color="auto"/>
      </w:divBdr>
    </w:div>
    <w:div w:id="5404090">
      <w:bodyDiv w:val="1"/>
      <w:marLeft w:val="0"/>
      <w:marRight w:val="0"/>
      <w:marTop w:val="0"/>
      <w:marBottom w:val="0"/>
      <w:divBdr>
        <w:top w:val="none" w:sz="0" w:space="0" w:color="auto"/>
        <w:left w:val="none" w:sz="0" w:space="0" w:color="auto"/>
        <w:bottom w:val="none" w:sz="0" w:space="0" w:color="auto"/>
        <w:right w:val="none" w:sz="0" w:space="0" w:color="auto"/>
      </w:divBdr>
    </w:div>
    <w:div w:id="7799251">
      <w:bodyDiv w:val="1"/>
      <w:marLeft w:val="0"/>
      <w:marRight w:val="0"/>
      <w:marTop w:val="0"/>
      <w:marBottom w:val="0"/>
      <w:divBdr>
        <w:top w:val="none" w:sz="0" w:space="0" w:color="auto"/>
        <w:left w:val="none" w:sz="0" w:space="0" w:color="auto"/>
        <w:bottom w:val="none" w:sz="0" w:space="0" w:color="auto"/>
        <w:right w:val="none" w:sz="0" w:space="0" w:color="auto"/>
      </w:divBdr>
    </w:div>
    <w:div w:id="19279441">
      <w:bodyDiv w:val="1"/>
      <w:marLeft w:val="0"/>
      <w:marRight w:val="0"/>
      <w:marTop w:val="0"/>
      <w:marBottom w:val="0"/>
      <w:divBdr>
        <w:top w:val="none" w:sz="0" w:space="0" w:color="auto"/>
        <w:left w:val="none" w:sz="0" w:space="0" w:color="auto"/>
        <w:bottom w:val="none" w:sz="0" w:space="0" w:color="auto"/>
        <w:right w:val="none" w:sz="0" w:space="0" w:color="auto"/>
      </w:divBdr>
    </w:div>
    <w:div w:id="23411498">
      <w:bodyDiv w:val="1"/>
      <w:marLeft w:val="0"/>
      <w:marRight w:val="0"/>
      <w:marTop w:val="0"/>
      <w:marBottom w:val="0"/>
      <w:divBdr>
        <w:top w:val="none" w:sz="0" w:space="0" w:color="auto"/>
        <w:left w:val="none" w:sz="0" w:space="0" w:color="auto"/>
        <w:bottom w:val="none" w:sz="0" w:space="0" w:color="auto"/>
        <w:right w:val="none" w:sz="0" w:space="0" w:color="auto"/>
      </w:divBdr>
    </w:div>
    <w:div w:id="27537018">
      <w:bodyDiv w:val="1"/>
      <w:marLeft w:val="0"/>
      <w:marRight w:val="0"/>
      <w:marTop w:val="0"/>
      <w:marBottom w:val="0"/>
      <w:divBdr>
        <w:top w:val="none" w:sz="0" w:space="0" w:color="auto"/>
        <w:left w:val="none" w:sz="0" w:space="0" w:color="auto"/>
        <w:bottom w:val="none" w:sz="0" w:space="0" w:color="auto"/>
        <w:right w:val="none" w:sz="0" w:space="0" w:color="auto"/>
      </w:divBdr>
    </w:div>
    <w:div w:id="46759576">
      <w:bodyDiv w:val="1"/>
      <w:marLeft w:val="0"/>
      <w:marRight w:val="0"/>
      <w:marTop w:val="0"/>
      <w:marBottom w:val="0"/>
      <w:divBdr>
        <w:top w:val="none" w:sz="0" w:space="0" w:color="auto"/>
        <w:left w:val="none" w:sz="0" w:space="0" w:color="auto"/>
        <w:bottom w:val="none" w:sz="0" w:space="0" w:color="auto"/>
        <w:right w:val="none" w:sz="0" w:space="0" w:color="auto"/>
      </w:divBdr>
    </w:div>
    <w:div w:id="66080261">
      <w:bodyDiv w:val="1"/>
      <w:marLeft w:val="0"/>
      <w:marRight w:val="0"/>
      <w:marTop w:val="0"/>
      <w:marBottom w:val="0"/>
      <w:divBdr>
        <w:top w:val="none" w:sz="0" w:space="0" w:color="auto"/>
        <w:left w:val="none" w:sz="0" w:space="0" w:color="auto"/>
        <w:bottom w:val="none" w:sz="0" w:space="0" w:color="auto"/>
        <w:right w:val="none" w:sz="0" w:space="0" w:color="auto"/>
      </w:divBdr>
    </w:div>
    <w:div w:id="81923312">
      <w:bodyDiv w:val="1"/>
      <w:marLeft w:val="0"/>
      <w:marRight w:val="0"/>
      <w:marTop w:val="0"/>
      <w:marBottom w:val="0"/>
      <w:divBdr>
        <w:top w:val="none" w:sz="0" w:space="0" w:color="auto"/>
        <w:left w:val="none" w:sz="0" w:space="0" w:color="auto"/>
        <w:bottom w:val="none" w:sz="0" w:space="0" w:color="auto"/>
        <w:right w:val="none" w:sz="0" w:space="0" w:color="auto"/>
      </w:divBdr>
    </w:div>
    <w:div w:id="89813667">
      <w:bodyDiv w:val="1"/>
      <w:marLeft w:val="0"/>
      <w:marRight w:val="0"/>
      <w:marTop w:val="0"/>
      <w:marBottom w:val="0"/>
      <w:divBdr>
        <w:top w:val="none" w:sz="0" w:space="0" w:color="auto"/>
        <w:left w:val="none" w:sz="0" w:space="0" w:color="auto"/>
        <w:bottom w:val="none" w:sz="0" w:space="0" w:color="auto"/>
        <w:right w:val="none" w:sz="0" w:space="0" w:color="auto"/>
      </w:divBdr>
    </w:div>
    <w:div w:id="100104611">
      <w:bodyDiv w:val="1"/>
      <w:marLeft w:val="0"/>
      <w:marRight w:val="0"/>
      <w:marTop w:val="0"/>
      <w:marBottom w:val="0"/>
      <w:divBdr>
        <w:top w:val="none" w:sz="0" w:space="0" w:color="auto"/>
        <w:left w:val="none" w:sz="0" w:space="0" w:color="auto"/>
        <w:bottom w:val="none" w:sz="0" w:space="0" w:color="auto"/>
        <w:right w:val="none" w:sz="0" w:space="0" w:color="auto"/>
      </w:divBdr>
    </w:div>
    <w:div w:id="105010243">
      <w:bodyDiv w:val="1"/>
      <w:marLeft w:val="0"/>
      <w:marRight w:val="0"/>
      <w:marTop w:val="0"/>
      <w:marBottom w:val="0"/>
      <w:divBdr>
        <w:top w:val="none" w:sz="0" w:space="0" w:color="auto"/>
        <w:left w:val="none" w:sz="0" w:space="0" w:color="auto"/>
        <w:bottom w:val="none" w:sz="0" w:space="0" w:color="auto"/>
        <w:right w:val="none" w:sz="0" w:space="0" w:color="auto"/>
      </w:divBdr>
    </w:div>
    <w:div w:id="109052464">
      <w:bodyDiv w:val="1"/>
      <w:marLeft w:val="0"/>
      <w:marRight w:val="0"/>
      <w:marTop w:val="0"/>
      <w:marBottom w:val="0"/>
      <w:divBdr>
        <w:top w:val="none" w:sz="0" w:space="0" w:color="auto"/>
        <w:left w:val="none" w:sz="0" w:space="0" w:color="auto"/>
        <w:bottom w:val="none" w:sz="0" w:space="0" w:color="auto"/>
        <w:right w:val="none" w:sz="0" w:space="0" w:color="auto"/>
      </w:divBdr>
    </w:div>
    <w:div w:id="144048564">
      <w:bodyDiv w:val="1"/>
      <w:marLeft w:val="0"/>
      <w:marRight w:val="0"/>
      <w:marTop w:val="0"/>
      <w:marBottom w:val="0"/>
      <w:divBdr>
        <w:top w:val="none" w:sz="0" w:space="0" w:color="auto"/>
        <w:left w:val="none" w:sz="0" w:space="0" w:color="auto"/>
        <w:bottom w:val="none" w:sz="0" w:space="0" w:color="auto"/>
        <w:right w:val="none" w:sz="0" w:space="0" w:color="auto"/>
      </w:divBdr>
    </w:div>
    <w:div w:id="159321382">
      <w:bodyDiv w:val="1"/>
      <w:marLeft w:val="0"/>
      <w:marRight w:val="0"/>
      <w:marTop w:val="0"/>
      <w:marBottom w:val="0"/>
      <w:divBdr>
        <w:top w:val="none" w:sz="0" w:space="0" w:color="auto"/>
        <w:left w:val="none" w:sz="0" w:space="0" w:color="auto"/>
        <w:bottom w:val="none" w:sz="0" w:space="0" w:color="auto"/>
        <w:right w:val="none" w:sz="0" w:space="0" w:color="auto"/>
      </w:divBdr>
    </w:div>
    <w:div w:id="159586977">
      <w:bodyDiv w:val="1"/>
      <w:marLeft w:val="0"/>
      <w:marRight w:val="0"/>
      <w:marTop w:val="0"/>
      <w:marBottom w:val="0"/>
      <w:divBdr>
        <w:top w:val="none" w:sz="0" w:space="0" w:color="auto"/>
        <w:left w:val="none" w:sz="0" w:space="0" w:color="auto"/>
        <w:bottom w:val="none" w:sz="0" w:space="0" w:color="auto"/>
        <w:right w:val="none" w:sz="0" w:space="0" w:color="auto"/>
      </w:divBdr>
    </w:div>
    <w:div w:id="169491387">
      <w:bodyDiv w:val="1"/>
      <w:marLeft w:val="0"/>
      <w:marRight w:val="0"/>
      <w:marTop w:val="0"/>
      <w:marBottom w:val="0"/>
      <w:divBdr>
        <w:top w:val="none" w:sz="0" w:space="0" w:color="auto"/>
        <w:left w:val="none" w:sz="0" w:space="0" w:color="auto"/>
        <w:bottom w:val="none" w:sz="0" w:space="0" w:color="auto"/>
        <w:right w:val="none" w:sz="0" w:space="0" w:color="auto"/>
      </w:divBdr>
    </w:div>
    <w:div w:id="172649189">
      <w:bodyDiv w:val="1"/>
      <w:marLeft w:val="0"/>
      <w:marRight w:val="0"/>
      <w:marTop w:val="0"/>
      <w:marBottom w:val="0"/>
      <w:divBdr>
        <w:top w:val="none" w:sz="0" w:space="0" w:color="auto"/>
        <w:left w:val="none" w:sz="0" w:space="0" w:color="auto"/>
        <w:bottom w:val="none" w:sz="0" w:space="0" w:color="auto"/>
        <w:right w:val="none" w:sz="0" w:space="0" w:color="auto"/>
      </w:divBdr>
    </w:div>
    <w:div w:id="174462167">
      <w:bodyDiv w:val="1"/>
      <w:marLeft w:val="0"/>
      <w:marRight w:val="0"/>
      <w:marTop w:val="0"/>
      <w:marBottom w:val="0"/>
      <w:divBdr>
        <w:top w:val="none" w:sz="0" w:space="0" w:color="auto"/>
        <w:left w:val="none" w:sz="0" w:space="0" w:color="auto"/>
        <w:bottom w:val="none" w:sz="0" w:space="0" w:color="auto"/>
        <w:right w:val="none" w:sz="0" w:space="0" w:color="auto"/>
      </w:divBdr>
    </w:div>
    <w:div w:id="178934830">
      <w:bodyDiv w:val="1"/>
      <w:marLeft w:val="0"/>
      <w:marRight w:val="0"/>
      <w:marTop w:val="0"/>
      <w:marBottom w:val="0"/>
      <w:divBdr>
        <w:top w:val="none" w:sz="0" w:space="0" w:color="auto"/>
        <w:left w:val="none" w:sz="0" w:space="0" w:color="auto"/>
        <w:bottom w:val="none" w:sz="0" w:space="0" w:color="auto"/>
        <w:right w:val="none" w:sz="0" w:space="0" w:color="auto"/>
      </w:divBdr>
    </w:div>
    <w:div w:id="183134438">
      <w:bodyDiv w:val="1"/>
      <w:marLeft w:val="0"/>
      <w:marRight w:val="0"/>
      <w:marTop w:val="0"/>
      <w:marBottom w:val="0"/>
      <w:divBdr>
        <w:top w:val="none" w:sz="0" w:space="0" w:color="auto"/>
        <w:left w:val="none" w:sz="0" w:space="0" w:color="auto"/>
        <w:bottom w:val="none" w:sz="0" w:space="0" w:color="auto"/>
        <w:right w:val="none" w:sz="0" w:space="0" w:color="auto"/>
      </w:divBdr>
    </w:div>
    <w:div w:id="196697674">
      <w:bodyDiv w:val="1"/>
      <w:marLeft w:val="0"/>
      <w:marRight w:val="0"/>
      <w:marTop w:val="0"/>
      <w:marBottom w:val="0"/>
      <w:divBdr>
        <w:top w:val="none" w:sz="0" w:space="0" w:color="auto"/>
        <w:left w:val="none" w:sz="0" w:space="0" w:color="auto"/>
        <w:bottom w:val="none" w:sz="0" w:space="0" w:color="auto"/>
        <w:right w:val="none" w:sz="0" w:space="0" w:color="auto"/>
      </w:divBdr>
    </w:div>
    <w:div w:id="197281790">
      <w:bodyDiv w:val="1"/>
      <w:marLeft w:val="0"/>
      <w:marRight w:val="0"/>
      <w:marTop w:val="0"/>
      <w:marBottom w:val="0"/>
      <w:divBdr>
        <w:top w:val="none" w:sz="0" w:space="0" w:color="auto"/>
        <w:left w:val="none" w:sz="0" w:space="0" w:color="auto"/>
        <w:bottom w:val="none" w:sz="0" w:space="0" w:color="auto"/>
        <w:right w:val="none" w:sz="0" w:space="0" w:color="auto"/>
      </w:divBdr>
    </w:div>
    <w:div w:id="198712864">
      <w:bodyDiv w:val="1"/>
      <w:marLeft w:val="0"/>
      <w:marRight w:val="0"/>
      <w:marTop w:val="0"/>
      <w:marBottom w:val="0"/>
      <w:divBdr>
        <w:top w:val="none" w:sz="0" w:space="0" w:color="auto"/>
        <w:left w:val="none" w:sz="0" w:space="0" w:color="auto"/>
        <w:bottom w:val="none" w:sz="0" w:space="0" w:color="auto"/>
        <w:right w:val="none" w:sz="0" w:space="0" w:color="auto"/>
      </w:divBdr>
    </w:div>
    <w:div w:id="211118685">
      <w:bodyDiv w:val="1"/>
      <w:marLeft w:val="0"/>
      <w:marRight w:val="0"/>
      <w:marTop w:val="0"/>
      <w:marBottom w:val="0"/>
      <w:divBdr>
        <w:top w:val="none" w:sz="0" w:space="0" w:color="auto"/>
        <w:left w:val="none" w:sz="0" w:space="0" w:color="auto"/>
        <w:bottom w:val="none" w:sz="0" w:space="0" w:color="auto"/>
        <w:right w:val="none" w:sz="0" w:space="0" w:color="auto"/>
      </w:divBdr>
    </w:div>
    <w:div w:id="234553707">
      <w:bodyDiv w:val="1"/>
      <w:marLeft w:val="0"/>
      <w:marRight w:val="0"/>
      <w:marTop w:val="0"/>
      <w:marBottom w:val="0"/>
      <w:divBdr>
        <w:top w:val="none" w:sz="0" w:space="0" w:color="auto"/>
        <w:left w:val="none" w:sz="0" w:space="0" w:color="auto"/>
        <w:bottom w:val="none" w:sz="0" w:space="0" w:color="auto"/>
        <w:right w:val="none" w:sz="0" w:space="0" w:color="auto"/>
      </w:divBdr>
    </w:div>
    <w:div w:id="255285964">
      <w:bodyDiv w:val="1"/>
      <w:marLeft w:val="0"/>
      <w:marRight w:val="0"/>
      <w:marTop w:val="0"/>
      <w:marBottom w:val="0"/>
      <w:divBdr>
        <w:top w:val="none" w:sz="0" w:space="0" w:color="auto"/>
        <w:left w:val="none" w:sz="0" w:space="0" w:color="auto"/>
        <w:bottom w:val="none" w:sz="0" w:space="0" w:color="auto"/>
        <w:right w:val="none" w:sz="0" w:space="0" w:color="auto"/>
      </w:divBdr>
    </w:div>
    <w:div w:id="274676901">
      <w:bodyDiv w:val="1"/>
      <w:marLeft w:val="0"/>
      <w:marRight w:val="0"/>
      <w:marTop w:val="0"/>
      <w:marBottom w:val="0"/>
      <w:divBdr>
        <w:top w:val="none" w:sz="0" w:space="0" w:color="auto"/>
        <w:left w:val="none" w:sz="0" w:space="0" w:color="auto"/>
        <w:bottom w:val="none" w:sz="0" w:space="0" w:color="auto"/>
        <w:right w:val="none" w:sz="0" w:space="0" w:color="auto"/>
      </w:divBdr>
    </w:div>
    <w:div w:id="280260343">
      <w:bodyDiv w:val="1"/>
      <w:marLeft w:val="0"/>
      <w:marRight w:val="0"/>
      <w:marTop w:val="0"/>
      <w:marBottom w:val="0"/>
      <w:divBdr>
        <w:top w:val="none" w:sz="0" w:space="0" w:color="auto"/>
        <w:left w:val="none" w:sz="0" w:space="0" w:color="auto"/>
        <w:bottom w:val="none" w:sz="0" w:space="0" w:color="auto"/>
        <w:right w:val="none" w:sz="0" w:space="0" w:color="auto"/>
      </w:divBdr>
    </w:div>
    <w:div w:id="292368335">
      <w:bodyDiv w:val="1"/>
      <w:marLeft w:val="0"/>
      <w:marRight w:val="0"/>
      <w:marTop w:val="0"/>
      <w:marBottom w:val="0"/>
      <w:divBdr>
        <w:top w:val="none" w:sz="0" w:space="0" w:color="auto"/>
        <w:left w:val="none" w:sz="0" w:space="0" w:color="auto"/>
        <w:bottom w:val="none" w:sz="0" w:space="0" w:color="auto"/>
        <w:right w:val="none" w:sz="0" w:space="0" w:color="auto"/>
      </w:divBdr>
    </w:div>
    <w:div w:id="312688152">
      <w:bodyDiv w:val="1"/>
      <w:marLeft w:val="0"/>
      <w:marRight w:val="0"/>
      <w:marTop w:val="0"/>
      <w:marBottom w:val="0"/>
      <w:divBdr>
        <w:top w:val="none" w:sz="0" w:space="0" w:color="auto"/>
        <w:left w:val="none" w:sz="0" w:space="0" w:color="auto"/>
        <w:bottom w:val="none" w:sz="0" w:space="0" w:color="auto"/>
        <w:right w:val="none" w:sz="0" w:space="0" w:color="auto"/>
      </w:divBdr>
    </w:div>
    <w:div w:id="313723416">
      <w:bodyDiv w:val="1"/>
      <w:marLeft w:val="0"/>
      <w:marRight w:val="0"/>
      <w:marTop w:val="0"/>
      <w:marBottom w:val="0"/>
      <w:divBdr>
        <w:top w:val="none" w:sz="0" w:space="0" w:color="auto"/>
        <w:left w:val="none" w:sz="0" w:space="0" w:color="auto"/>
        <w:bottom w:val="none" w:sz="0" w:space="0" w:color="auto"/>
        <w:right w:val="none" w:sz="0" w:space="0" w:color="auto"/>
      </w:divBdr>
    </w:div>
    <w:div w:id="318462768">
      <w:bodyDiv w:val="1"/>
      <w:marLeft w:val="0"/>
      <w:marRight w:val="0"/>
      <w:marTop w:val="0"/>
      <w:marBottom w:val="0"/>
      <w:divBdr>
        <w:top w:val="none" w:sz="0" w:space="0" w:color="auto"/>
        <w:left w:val="none" w:sz="0" w:space="0" w:color="auto"/>
        <w:bottom w:val="none" w:sz="0" w:space="0" w:color="auto"/>
        <w:right w:val="none" w:sz="0" w:space="0" w:color="auto"/>
      </w:divBdr>
    </w:div>
    <w:div w:id="321352201">
      <w:bodyDiv w:val="1"/>
      <w:marLeft w:val="0"/>
      <w:marRight w:val="0"/>
      <w:marTop w:val="0"/>
      <w:marBottom w:val="0"/>
      <w:divBdr>
        <w:top w:val="none" w:sz="0" w:space="0" w:color="auto"/>
        <w:left w:val="none" w:sz="0" w:space="0" w:color="auto"/>
        <w:bottom w:val="none" w:sz="0" w:space="0" w:color="auto"/>
        <w:right w:val="none" w:sz="0" w:space="0" w:color="auto"/>
      </w:divBdr>
    </w:div>
    <w:div w:id="336270611">
      <w:bodyDiv w:val="1"/>
      <w:marLeft w:val="0"/>
      <w:marRight w:val="0"/>
      <w:marTop w:val="0"/>
      <w:marBottom w:val="0"/>
      <w:divBdr>
        <w:top w:val="none" w:sz="0" w:space="0" w:color="auto"/>
        <w:left w:val="none" w:sz="0" w:space="0" w:color="auto"/>
        <w:bottom w:val="none" w:sz="0" w:space="0" w:color="auto"/>
        <w:right w:val="none" w:sz="0" w:space="0" w:color="auto"/>
      </w:divBdr>
    </w:div>
    <w:div w:id="343169535">
      <w:bodyDiv w:val="1"/>
      <w:marLeft w:val="0"/>
      <w:marRight w:val="0"/>
      <w:marTop w:val="0"/>
      <w:marBottom w:val="0"/>
      <w:divBdr>
        <w:top w:val="none" w:sz="0" w:space="0" w:color="auto"/>
        <w:left w:val="none" w:sz="0" w:space="0" w:color="auto"/>
        <w:bottom w:val="none" w:sz="0" w:space="0" w:color="auto"/>
        <w:right w:val="none" w:sz="0" w:space="0" w:color="auto"/>
      </w:divBdr>
    </w:div>
    <w:div w:id="344405259">
      <w:bodyDiv w:val="1"/>
      <w:marLeft w:val="0"/>
      <w:marRight w:val="0"/>
      <w:marTop w:val="0"/>
      <w:marBottom w:val="0"/>
      <w:divBdr>
        <w:top w:val="none" w:sz="0" w:space="0" w:color="auto"/>
        <w:left w:val="none" w:sz="0" w:space="0" w:color="auto"/>
        <w:bottom w:val="none" w:sz="0" w:space="0" w:color="auto"/>
        <w:right w:val="none" w:sz="0" w:space="0" w:color="auto"/>
      </w:divBdr>
    </w:div>
    <w:div w:id="347875912">
      <w:bodyDiv w:val="1"/>
      <w:marLeft w:val="0"/>
      <w:marRight w:val="0"/>
      <w:marTop w:val="0"/>
      <w:marBottom w:val="0"/>
      <w:divBdr>
        <w:top w:val="none" w:sz="0" w:space="0" w:color="auto"/>
        <w:left w:val="none" w:sz="0" w:space="0" w:color="auto"/>
        <w:bottom w:val="none" w:sz="0" w:space="0" w:color="auto"/>
        <w:right w:val="none" w:sz="0" w:space="0" w:color="auto"/>
      </w:divBdr>
    </w:div>
    <w:div w:id="369451857">
      <w:bodyDiv w:val="1"/>
      <w:marLeft w:val="0"/>
      <w:marRight w:val="0"/>
      <w:marTop w:val="0"/>
      <w:marBottom w:val="0"/>
      <w:divBdr>
        <w:top w:val="none" w:sz="0" w:space="0" w:color="auto"/>
        <w:left w:val="none" w:sz="0" w:space="0" w:color="auto"/>
        <w:bottom w:val="none" w:sz="0" w:space="0" w:color="auto"/>
        <w:right w:val="none" w:sz="0" w:space="0" w:color="auto"/>
      </w:divBdr>
    </w:div>
    <w:div w:id="378674127">
      <w:bodyDiv w:val="1"/>
      <w:marLeft w:val="0"/>
      <w:marRight w:val="0"/>
      <w:marTop w:val="0"/>
      <w:marBottom w:val="0"/>
      <w:divBdr>
        <w:top w:val="none" w:sz="0" w:space="0" w:color="auto"/>
        <w:left w:val="none" w:sz="0" w:space="0" w:color="auto"/>
        <w:bottom w:val="none" w:sz="0" w:space="0" w:color="auto"/>
        <w:right w:val="none" w:sz="0" w:space="0" w:color="auto"/>
      </w:divBdr>
    </w:div>
    <w:div w:id="380985974">
      <w:bodyDiv w:val="1"/>
      <w:marLeft w:val="0"/>
      <w:marRight w:val="0"/>
      <w:marTop w:val="0"/>
      <w:marBottom w:val="0"/>
      <w:divBdr>
        <w:top w:val="none" w:sz="0" w:space="0" w:color="auto"/>
        <w:left w:val="none" w:sz="0" w:space="0" w:color="auto"/>
        <w:bottom w:val="none" w:sz="0" w:space="0" w:color="auto"/>
        <w:right w:val="none" w:sz="0" w:space="0" w:color="auto"/>
      </w:divBdr>
    </w:div>
    <w:div w:id="385110780">
      <w:bodyDiv w:val="1"/>
      <w:marLeft w:val="0"/>
      <w:marRight w:val="0"/>
      <w:marTop w:val="0"/>
      <w:marBottom w:val="0"/>
      <w:divBdr>
        <w:top w:val="none" w:sz="0" w:space="0" w:color="auto"/>
        <w:left w:val="none" w:sz="0" w:space="0" w:color="auto"/>
        <w:bottom w:val="none" w:sz="0" w:space="0" w:color="auto"/>
        <w:right w:val="none" w:sz="0" w:space="0" w:color="auto"/>
      </w:divBdr>
    </w:div>
    <w:div w:id="390930709">
      <w:bodyDiv w:val="1"/>
      <w:marLeft w:val="0"/>
      <w:marRight w:val="0"/>
      <w:marTop w:val="0"/>
      <w:marBottom w:val="0"/>
      <w:divBdr>
        <w:top w:val="none" w:sz="0" w:space="0" w:color="auto"/>
        <w:left w:val="none" w:sz="0" w:space="0" w:color="auto"/>
        <w:bottom w:val="none" w:sz="0" w:space="0" w:color="auto"/>
        <w:right w:val="none" w:sz="0" w:space="0" w:color="auto"/>
      </w:divBdr>
    </w:div>
    <w:div w:id="400371846">
      <w:bodyDiv w:val="1"/>
      <w:marLeft w:val="0"/>
      <w:marRight w:val="0"/>
      <w:marTop w:val="0"/>
      <w:marBottom w:val="0"/>
      <w:divBdr>
        <w:top w:val="none" w:sz="0" w:space="0" w:color="auto"/>
        <w:left w:val="none" w:sz="0" w:space="0" w:color="auto"/>
        <w:bottom w:val="none" w:sz="0" w:space="0" w:color="auto"/>
        <w:right w:val="none" w:sz="0" w:space="0" w:color="auto"/>
      </w:divBdr>
      <w:divsChild>
        <w:div w:id="1504930037">
          <w:marLeft w:val="0"/>
          <w:marRight w:val="0"/>
          <w:marTop w:val="0"/>
          <w:marBottom w:val="0"/>
          <w:divBdr>
            <w:top w:val="none" w:sz="0" w:space="0" w:color="auto"/>
            <w:left w:val="none" w:sz="0" w:space="0" w:color="auto"/>
            <w:bottom w:val="none" w:sz="0" w:space="0" w:color="auto"/>
            <w:right w:val="none" w:sz="0" w:space="0" w:color="auto"/>
          </w:divBdr>
          <w:divsChild>
            <w:div w:id="206382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334320">
      <w:bodyDiv w:val="1"/>
      <w:marLeft w:val="0"/>
      <w:marRight w:val="0"/>
      <w:marTop w:val="0"/>
      <w:marBottom w:val="0"/>
      <w:divBdr>
        <w:top w:val="none" w:sz="0" w:space="0" w:color="auto"/>
        <w:left w:val="none" w:sz="0" w:space="0" w:color="auto"/>
        <w:bottom w:val="none" w:sz="0" w:space="0" w:color="auto"/>
        <w:right w:val="none" w:sz="0" w:space="0" w:color="auto"/>
      </w:divBdr>
    </w:div>
    <w:div w:id="406852125">
      <w:bodyDiv w:val="1"/>
      <w:marLeft w:val="0"/>
      <w:marRight w:val="0"/>
      <w:marTop w:val="0"/>
      <w:marBottom w:val="0"/>
      <w:divBdr>
        <w:top w:val="none" w:sz="0" w:space="0" w:color="auto"/>
        <w:left w:val="none" w:sz="0" w:space="0" w:color="auto"/>
        <w:bottom w:val="none" w:sz="0" w:space="0" w:color="auto"/>
        <w:right w:val="none" w:sz="0" w:space="0" w:color="auto"/>
      </w:divBdr>
    </w:div>
    <w:div w:id="448818301">
      <w:bodyDiv w:val="1"/>
      <w:marLeft w:val="0"/>
      <w:marRight w:val="0"/>
      <w:marTop w:val="0"/>
      <w:marBottom w:val="0"/>
      <w:divBdr>
        <w:top w:val="none" w:sz="0" w:space="0" w:color="auto"/>
        <w:left w:val="none" w:sz="0" w:space="0" w:color="auto"/>
        <w:bottom w:val="none" w:sz="0" w:space="0" w:color="auto"/>
        <w:right w:val="none" w:sz="0" w:space="0" w:color="auto"/>
      </w:divBdr>
    </w:div>
    <w:div w:id="449395880">
      <w:bodyDiv w:val="1"/>
      <w:marLeft w:val="0"/>
      <w:marRight w:val="0"/>
      <w:marTop w:val="0"/>
      <w:marBottom w:val="0"/>
      <w:divBdr>
        <w:top w:val="none" w:sz="0" w:space="0" w:color="auto"/>
        <w:left w:val="none" w:sz="0" w:space="0" w:color="auto"/>
        <w:bottom w:val="none" w:sz="0" w:space="0" w:color="auto"/>
        <w:right w:val="none" w:sz="0" w:space="0" w:color="auto"/>
      </w:divBdr>
    </w:div>
    <w:div w:id="456026987">
      <w:bodyDiv w:val="1"/>
      <w:marLeft w:val="0"/>
      <w:marRight w:val="0"/>
      <w:marTop w:val="0"/>
      <w:marBottom w:val="0"/>
      <w:divBdr>
        <w:top w:val="none" w:sz="0" w:space="0" w:color="auto"/>
        <w:left w:val="none" w:sz="0" w:space="0" w:color="auto"/>
        <w:bottom w:val="none" w:sz="0" w:space="0" w:color="auto"/>
        <w:right w:val="none" w:sz="0" w:space="0" w:color="auto"/>
      </w:divBdr>
    </w:div>
    <w:div w:id="470637048">
      <w:bodyDiv w:val="1"/>
      <w:marLeft w:val="0"/>
      <w:marRight w:val="0"/>
      <w:marTop w:val="0"/>
      <w:marBottom w:val="0"/>
      <w:divBdr>
        <w:top w:val="none" w:sz="0" w:space="0" w:color="auto"/>
        <w:left w:val="none" w:sz="0" w:space="0" w:color="auto"/>
        <w:bottom w:val="none" w:sz="0" w:space="0" w:color="auto"/>
        <w:right w:val="none" w:sz="0" w:space="0" w:color="auto"/>
      </w:divBdr>
    </w:div>
    <w:div w:id="485782584">
      <w:bodyDiv w:val="1"/>
      <w:marLeft w:val="0"/>
      <w:marRight w:val="0"/>
      <w:marTop w:val="0"/>
      <w:marBottom w:val="0"/>
      <w:divBdr>
        <w:top w:val="none" w:sz="0" w:space="0" w:color="auto"/>
        <w:left w:val="none" w:sz="0" w:space="0" w:color="auto"/>
        <w:bottom w:val="none" w:sz="0" w:space="0" w:color="auto"/>
        <w:right w:val="none" w:sz="0" w:space="0" w:color="auto"/>
      </w:divBdr>
    </w:div>
    <w:div w:id="488448151">
      <w:bodyDiv w:val="1"/>
      <w:marLeft w:val="0"/>
      <w:marRight w:val="0"/>
      <w:marTop w:val="0"/>
      <w:marBottom w:val="0"/>
      <w:divBdr>
        <w:top w:val="none" w:sz="0" w:space="0" w:color="auto"/>
        <w:left w:val="none" w:sz="0" w:space="0" w:color="auto"/>
        <w:bottom w:val="none" w:sz="0" w:space="0" w:color="auto"/>
        <w:right w:val="none" w:sz="0" w:space="0" w:color="auto"/>
      </w:divBdr>
    </w:div>
    <w:div w:id="497111282">
      <w:bodyDiv w:val="1"/>
      <w:marLeft w:val="0"/>
      <w:marRight w:val="0"/>
      <w:marTop w:val="0"/>
      <w:marBottom w:val="0"/>
      <w:divBdr>
        <w:top w:val="none" w:sz="0" w:space="0" w:color="auto"/>
        <w:left w:val="none" w:sz="0" w:space="0" w:color="auto"/>
        <w:bottom w:val="none" w:sz="0" w:space="0" w:color="auto"/>
        <w:right w:val="none" w:sz="0" w:space="0" w:color="auto"/>
      </w:divBdr>
    </w:div>
    <w:div w:id="504832495">
      <w:bodyDiv w:val="1"/>
      <w:marLeft w:val="0"/>
      <w:marRight w:val="0"/>
      <w:marTop w:val="0"/>
      <w:marBottom w:val="0"/>
      <w:divBdr>
        <w:top w:val="none" w:sz="0" w:space="0" w:color="auto"/>
        <w:left w:val="none" w:sz="0" w:space="0" w:color="auto"/>
        <w:bottom w:val="none" w:sz="0" w:space="0" w:color="auto"/>
        <w:right w:val="none" w:sz="0" w:space="0" w:color="auto"/>
      </w:divBdr>
    </w:div>
    <w:div w:id="510879533">
      <w:bodyDiv w:val="1"/>
      <w:marLeft w:val="0"/>
      <w:marRight w:val="0"/>
      <w:marTop w:val="0"/>
      <w:marBottom w:val="0"/>
      <w:divBdr>
        <w:top w:val="none" w:sz="0" w:space="0" w:color="auto"/>
        <w:left w:val="none" w:sz="0" w:space="0" w:color="auto"/>
        <w:bottom w:val="none" w:sz="0" w:space="0" w:color="auto"/>
        <w:right w:val="none" w:sz="0" w:space="0" w:color="auto"/>
      </w:divBdr>
    </w:div>
    <w:div w:id="528101981">
      <w:bodyDiv w:val="1"/>
      <w:marLeft w:val="0"/>
      <w:marRight w:val="0"/>
      <w:marTop w:val="0"/>
      <w:marBottom w:val="0"/>
      <w:divBdr>
        <w:top w:val="none" w:sz="0" w:space="0" w:color="auto"/>
        <w:left w:val="none" w:sz="0" w:space="0" w:color="auto"/>
        <w:bottom w:val="none" w:sz="0" w:space="0" w:color="auto"/>
        <w:right w:val="none" w:sz="0" w:space="0" w:color="auto"/>
      </w:divBdr>
    </w:div>
    <w:div w:id="529033203">
      <w:bodyDiv w:val="1"/>
      <w:marLeft w:val="0"/>
      <w:marRight w:val="0"/>
      <w:marTop w:val="0"/>
      <w:marBottom w:val="0"/>
      <w:divBdr>
        <w:top w:val="none" w:sz="0" w:space="0" w:color="auto"/>
        <w:left w:val="none" w:sz="0" w:space="0" w:color="auto"/>
        <w:bottom w:val="none" w:sz="0" w:space="0" w:color="auto"/>
        <w:right w:val="none" w:sz="0" w:space="0" w:color="auto"/>
      </w:divBdr>
    </w:div>
    <w:div w:id="534537493">
      <w:bodyDiv w:val="1"/>
      <w:marLeft w:val="0"/>
      <w:marRight w:val="0"/>
      <w:marTop w:val="0"/>
      <w:marBottom w:val="0"/>
      <w:divBdr>
        <w:top w:val="none" w:sz="0" w:space="0" w:color="auto"/>
        <w:left w:val="none" w:sz="0" w:space="0" w:color="auto"/>
        <w:bottom w:val="none" w:sz="0" w:space="0" w:color="auto"/>
        <w:right w:val="none" w:sz="0" w:space="0" w:color="auto"/>
      </w:divBdr>
    </w:div>
    <w:div w:id="537860275">
      <w:bodyDiv w:val="1"/>
      <w:marLeft w:val="0"/>
      <w:marRight w:val="0"/>
      <w:marTop w:val="0"/>
      <w:marBottom w:val="0"/>
      <w:divBdr>
        <w:top w:val="none" w:sz="0" w:space="0" w:color="auto"/>
        <w:left w:val="none" w:sz="0" w:space="0" w:color="auto"/>
        <w:bottom w:val="none" w:sz="0" w:space="0" w:color="auto"/>
        <w:right w:val="none" w:sz="0" w:space="0" w:color="auto"/>
      </w:divBdr>
    </w:div>
    <w:div w:id="555622927">
      <w:bodyDiv w:val="1"/>
      <w:marLeft w:val="0"/>
      <w:marRight w:val="0"/>
      <w:marTop w:val="0"/>
      <w:marBottom w:val="0"/>
      <w:divBdr>
        <w:top w:val="none" w:sz="0" w:space="0" w:color="auto"/>
        <w:left w:val="none" w:sz="0" w:space="0" w:color="auto"/>
        <w:bottom w:val="none" w:sz="0" w:space="0" w:color="auto"/>
        <w:right w:val="none" w:sz="0" w:space="0" w:color="auto"/>
      </w:divBdr>
    </w:div>
    <w:div w:id="557400537">
      <w:bodyDiv w:val="1"/>
      <w:marLeft w:val="0"/>
      <w:marRight w:val="0"/>
      <w:marTop w:val="0"/>
      <w:marBottom w:val="0"/>
      <w:divBdr>
        <w:top w:val="none" w:sz="0" w:space="0" w:color="auto"/>
        <w:left w:val="none" w:sz="0" w:space="0" w:color="auto"/>
        <w:bottom w:val="none" w:sz="0" w:space="0" w:color="auto"/>
        <w:right w:val="none" w:sz="0" w:space="0" w:color="auto"/>
      </w:divBdr>
    </w:div>
    <w:div w:id="579097874">
      <w:bodyDiv w:val="1"/>
      <w:marLeft w:val="0"/>
      <w:marRight w:val="0"/>
      <w:marTop w:val="0"/>
      <w:marBottom w:val="0"/>
      <w:divBdr>
        <w:top w:val="none" w:sz="0" w:space="0" w:color="auto"/>
        <w:left w:val="none" w:sz="0" w:space="0" w:color="auto"/>
        <w:bottom w:val="none" w:sz="0" w:space="0" w:color="auto"/>
        <w:right w:val="none" w:sz="0" w:space="0" w:color="auto"/>
      </w:divBdr>
    </w:div>
    <w:div w:id="584532405">
      <w:bodyDiv w:val="1"/>
      <w:marLeft w:val="0"/>
      <w:marRight w:val="0"/>
      <w:marTop w:val="0"/>
      <w:marBottom w:val="0"/>
      <w:divBdr>
        <w:top w:val="none" w:sz="0" w:space="0" w:color="auto"/>
        <w:left w:val="none" w:sz="0" w:space="0" w:color="auto"/>
        <w:bottom w:val="none" w:sz="0" w:space="0" w:color="auto"/>
        <w:right w:val="none" w:sz="0" w:space="0" w:color="auto"/>
      </w:divBdr>
    </w:div>
    <w:div w:id="596212676">
      <w:bodyDiv w:val="1"/>
      <w:marLeft w:val="0"/>
      <w:marRight w:val="0"/>
      <w:marTop w:val="0"/>
      <w:marBottom w:val="0"/>
      <w:divBdr>
        <w:top w:val="none" w:sz="0" w:space="0" w:color="auto"/>
        <w:left w:val="none" w:sz="0" w:space="0" w:color="auto"/>
        <w:bottom w:val="none" w:sz="0" w:space="0" w:color="auto"/>
        <w:right w:val="none" w:sz="0" w:space="0" w:color="auto"/>
      </w:divBdr>
    </w:div>
    <w:div w:id="613748373">
      <w:bodyDiv w:val="1"/>
      <w:marLeft w:val="0"/>
      <w:marRight w:val="0"/>
      <w:marTop w:val="0"/>
      <w:marBottom w:val="0"/>
      <w:divBdr>
        <w:top w:val="none" w:sz="0" w:space="0" w:color="auto"/>
        <w:left w:val="none" w:sz="0" w:space="0" w:color="auto"/>
        <w:bottom w:val="none" w:sz="0" w:space="0" w:color="auto"/>
        <w:right w:val="none" w:sz="0" w:space="0" w:color="auto"/>
      </w:divBdr>
    </w:div>
    <w:div w:id="615016434">
      <w:bodyDiv w:val="1"/>
      <w:marLeft w:val="0"/>
      <w:marRight w:val="0"/>
      <w:marTop w:val="0"/>
      <w:marBottom w:val="0"/>
      <w:divBdr>
        <w:top w:val="none" w:sz="0" w:space="0" w:color="auto"/>
        <w:left w:val="none" w:sz="0" w:space="0" w:color="auto"/>
        <w:bottom w:val="none" w:sz="0" w:space="0" w:color="auto"/>
        <w:right w:val="none" w:sz="0" w:space="0" w:color="auto"/>
      </w:divBdr>
    </w:div>
    <w:div w:id="620259148">
      <w:bodyDiv w:val="1"/>
      <w:marLeft w:val="0"/>
      <w:marRight w:val="0"/>
      <w:marTop w:val="0"/>
      <w:marBottom w:val="0"/>
      <w:divBdr>
        <w:top w:val="none" w:sz="0" w:space="0" w:color="auto"/>
        <w:left w:val="none" w:sz="0" w:space="0" w:color="auto"/>
        <w:bottom w:val="none" w:sz="0" w:space="0" w:color="auto"/>
        <w:right w:val="none" w:sz="0" w:space="0" w:color="auto"/>
      </w:divBdr>
    </w:div>
    <w:div w:id="630287859">
      <w:bodyDiv w:val="1"/>
      <w:marLeft w:val="0"/>
      <w:marRight w:val="0"/>
      <w:marTop w:val="0"/>
      <w:marBottom w:val="0"/>
      <w:divBdr>
        <w:top w:val="none" w:sz="0" w:space="0" w:color="auto"/>
        <w:left w:val="none" w:sz="0" w:space="0" w:color="auto"/>
        <w:bottom w:val="none" w:sz="0" w:space="0" w:color="auto"/>
        <w:right w:val="none" w:sz="0" w:space="0" w:color="auto"/>
      </w:divBdr>
    </w:div>
    <w:div w:id="633564253">
      <w:bodyDiv w:val="1"/>
      <w:marLeft w:val="0"/>
      <w:marRight w:val="0"/>
      <w:marTop w:val="0"/>
      <w:marBottom w:val="0"/>
      <w:divBdr>
        <w:top w:val="none" w:sz="0" w:space="0" w:color="auto"/>
        <w:left w:val="none" w:sz="0" w:space="0" w:color="auto"/>
        <w:bottom w:val="none" w:sz="0" w:space="0" w:color="auto"/>
        <w:right w:val="none" w:sz="0" w:space="0" w:color="auto"/>
      </w:divBdr>
    </w:div>
    <w:div w:id="641235768">
      <w:bodyDiv w:val="1"/>
      <w:marLeft w:val="0"/>
      <w:marRight w:val="0"/>
      <w:marTop w:val="0"/>
      <w:marBottom w:val="0"/>
      <w:divBdr>
        <w:top w:val="none" w:sz="0" w:space="0" w:color="auto"/>
        <w:left w:val="none" w:sz="0" w:space="0" w:color="auto"/>
        <w:bottom w:val="none" w:sz="0" w:space="0" w:color="auto"/>
        <w:right w:val="none" w:sz="0" w:space="0" w:color="auto"/>
      </w:divBdr>
    </w:div>
    <w:div w:id="648435989">
      <w:bodyDiv w:val="1"/>
      <w:marLeft w:val="0"/>
      <w:marRight w:val="0"/>
      <w:marTop w:val="0"/>
      <w:marBottom w:val="0"/>
      <w:divBdr>
        <w:top w:val="none" w:sz="0" w:space="0" w:color="auto"/>
        <w:left w:val="none" w:sz="0" w:space="0" w:color="auto"/>
        <w:bottom w:val="none" w:sz="0" w:space="0" w:color="auto"/>
        <w:right w:val="none" w:sz="0" w:space="0" w:color="auto"/>
      </w:divBdr>
    </w:div>
    <w:div w:id="658001042">
      <w:bodyDiv w:val="1"/>
      <w:marLeft w:val="0"/>
      <w:marRight w:val="0"/>
      <w:marTop w:val="0"/>
      <w:marBottom w:val="0"/>
      <w:divBdr>
        <w:top w:val="none" w:sz="0" w:space="0" w:color="auto"/>
        <w:left w:val="none" w:sz="0" w:space="0" w:color="auto"/>
        <w:bottom w:val="none" w:sz="0" w:space="0" w:color="auto"/>
        <w:right w:val="none" w:sz="0" w:space="0" w:color="auto"/>
      </w:divBdr>
    </w:div>
    <w:div w:id="671448290">
      <w:bodyDiv w:val="1"/>
      <w:marLeft w:val="0"/>
      <w:marRight w:val="0"/>
      <w:marTop w:val="0"/>
      <w:marBottom w:val="0"/>
      <w:divBdr>
        <w:top w:val="none" w:sz="0" w:space="0" w:color="auto"/>
        <w:left w:val="none" w:sz="0" w:space="0" w:color="auto"/>
        <w:bottom w:val="none" w:sz="0" w:space="0" w:color="auto"/>
        <w:right w:val="none" w:sz="0" w:space="0" w:color="auto"/>
      </w:divBdr>
    </w:div>
    <w:div w:id="676620907">
      <w:bodyDiv w:val="1"/>
      <w:marLeft w:val="0"/>
      <w:marRight w:val="0"/>
      <w:marTop w:val="0"/>
      <w:marBottom w:val="0"/>
      <w:divBdr>
        <w:top w:val="none" w:sz="0" w:space="0" w:color="auto"/>
        <w:left w:val="none" w:sz="0" w:space="0" w:color="auto"/>
        <w:bottom w:val="none" w:sz="0" w:space="0" w:color="auto"/>
        <w:right w:val="none" w:sz="0" w:space="0" w:color="auto"/>
      </w:divBdr>
      <w:divsChild>
        <w:div w:id="154297322">
          <w:marLeft w:val="240"/>
          <w:marRight w:val="90"/>
          <w:marTop w:val="120"/>
          <w:marBottom w:val="75"/>
          <w:divBdr>
            <w:top w:val="none" w:sz="0" w:space="0" w:color="auto"/>
            <w:left w:val="none" w:sz="0" w:space="0" w:color="auto"/>
            <w:bottom w:val="none" w:sz="0" w:space="0" w:color="auto"/>
            <w:right w:val="none" w:sz="0" w:space="0" w:color="auto"/>
          </w:divBdr>
          <w:divsChild>
            <w:div w:id="181070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593435">
      <w:bodyDiv w:val="1"/>
      <w:marLeft w:val="0"/>
      <w:marRight w:val="0"/>
      <w:marTop w:val="0"/>
      <w:marBottom w:val="0"/>
      <w:divBdr>
        <w:top w:val="none" w:sz="0" w:space="0" w:color="auto"/>
        <w:left w:val="none" w:sz="0" w:space="0" w:color="auto"/>
        <w:bottom w:val="none" w:sz="0" w:space="0" w:color="auto"/>
        <w:right w:val="none" w:sz="0" w:space="0" w:color="auto"/>
      </w:divBdr>
    </w:div>
    <w:div w:id="684550505">
      <w:bodyDiv w:val="1"/>
      <w:marLeft w:val="0"/>
      <w:marRight w:val="0"/>
      <w:marTop w:val="0"/>
      <w:marBottom w:val="0"/>
      <w:divBdr>
        <w:top w:val="none" w:sz="0" w:space="0" w:color="auto"/>
        <w:left w:val="none" w:sz="0" w:space="0" w:color="auto"/>
        <w:bottom w:val="none" w:sz="0" w:space="0" w:color="auto"/>
        <w:right w:val="none" w:sz="0" w:space="0" w:color="auto"/>
      </w:divBdr>
    </w:div>
    <w:div w:id="686180433">
      <w:bodyDiv w:val="1"/>
      <w:marLeft w:val="0"/>
      <w:marRight w:val="0"/>
      <w:marTop w:val="0"/>
      <w:marBottom w:val="0"/>
      <w:divBdr>
        <w:top w:val="none" w:sz="0" w:space="0" w:color="auto"/>
        <w:left w:val="none" w:sz="0" w:space="0" w:color="auto"/>
        <w:bottom w:val="none" w:sz="0" w:space="0" w:color="auto"/>
        <w:right w:val="none" w:sz="0" w:space="0" w:color="auto"/>
      </w:divBdr>
    </w:div>
    <w:div w:id="687368103">
      <w:bodyDiv w:val="1"/>
      <w:marLeft w:val="0"/>
      <w:marRight w:val="0"/>
      <w:marTop w:val="0"/>
      <w:marBottom w:val="0"/>
      <w:divBdr>
        <w:top w:val="none" w:sz="0" w:space="0" w:color="auto"/>
        <w:left w:val="none" w:sz="0" w:space="0" w:color="auto"/>
        <w:bottom w:val="none" w:sz="0" w:space="0" w:color="auto"/>
        <w:right w:val="none" w:sz="0" w:space="0" w:color="auto"/>
      </w:divBdr>
    </w:div>
    <w:div w:id="721754179">
      <w:bodyDiv w:val="1"/>
      <w:marLeft w:val="0"/>
      <w:marRight w:val="0"/>
      <w:marTop w:val="0"/>
      <w:marBottom w:val="0"/>
      <w:divBdr>
        <w:top w:val="none" w:sz="0" w:space="0" w:color="auto"/>
        <w:left w:val="none" w:sz="0" w:space="0" w:color="auto"/>
        <w:bottom w:val="none" w:sz="0" w:space="0" w:color="auto"/>
        <w:right w:val="none" w:sz="0" w:space="0" w:color="auto"/>
      </w:divBdr>
    </w:div>
    <w:div w:id="726421033">
      <w:bodyDiv w:val="1"/>
      <w:marLeft w:val="0"/>
      <w:marRight w:val="0"/>
      <w:marTop w:val="0"/>
      <w:marBottom w:val="0"/>
      <w:divBdr>
        <w:top w:val="none" w:sz="0" w:space="0" w:color="auto"/>
        <w:left w:val="none" w:sz="0" w:space="0" w:color="auto"/>
        <w:bottom w:val="none" w:sz="0" w:space="0" w:color="auto"/>
        <w:right w:val="none" w:sz="0" w:space="0" w:color="auto"/>
      </w:divBdr>
    </w:div>
    <w:div w:id="728310922">
      <w:bodyDiv w:val="1"/>
      <w:marLeft w:val="0"/>
      <w:marRight w:val="0"/>
      <w:marTop w:val="0"/>
      <w:marBottom w:val="0"/>
      <w:divBdr>
        <w:top w:val="none" w:sz="0" w:space="0" w:color="auto"/>
        <w:left w:val="none" w:sz="0" w:space="0" w:color="auto"/>
        <w:bottom w:val="none" w:sz="0" w:space="0" w:color="auto"/>
        <w:right w:val="none" w:sz="0" w:space="0" w:color="auto"/>
      </w:divBdr>
    </w:div>
    <w:div w:id="730467096">
      <w:bodyDiv w:val="1"/>
      <w:marLeft w:val="0"/>
      <w:marRight w:val="0"/>
      <w:marTop w:val="0"/>
      <w:marBottom w:val="0"/>
      <w:divBdr>
        <w:top w:val="none" w:sz="0" w:space="0" w:color="auto"/>
        <w:left w:val="none" w:sz="0" w:space="0" w:color="auto"/>
        <w:bottom w:val="none" w:sz="0" w:space="0" w:color="auto"/>
        <w:right w:val="none" w:sz="0" w:space="0" w:color="auto"/>
      </w:divBdr>
    </w:div>
    <w:div w:id="731578950">
      <w:bodyDiv w:val="1"/>
      <w:marLeft w:val="0"/>
      <w:marRight w:val="0"/>
      <w:marTop w:val="0"/>
      <w:marBottom w:val="0"/>
      <w:divBdr>
        <w:top w:val="none" w:sz="0" w:space="0" w:color="auto"/>
        <w:left w:val="none" w:sz="0" w:space="0" w:color="auto"/>
        <w:bottom w:val="none" w:sz="0" w:space="0" w:color="auto"/>
        <w:right w:val="none" w:sz="0" w:space="0" w:color="auto"/>
      </w:divBdr>
    </w:div>
    <w:div w:id="740255537">
      <w:bodyDiv w:val="1"/>
      <w:marLeft w:val="0"/>
      <w:marRight w:val="0"/>
      <w:marTop w:val="0"/>
      <w:marBottom w:val="0"/>
      <w:divBdr>
        <w:top w:val="none" w:sz="0" w:space="0" w:color="auto"/>
        <w:left w:val="none" w:sz="0" w:space="0" w:color="auto"/>
        <w:bottom w:val="none" w:sz="0" w:space="0" w:color="auto"/>
        <w:right w:val="none" w:sz="0" w:space="0" w:color="auto"/>
      </w:divBdr>
    </w:div>
    <w:div w:id="768043465">
      <w:bodyDiv w:val="1"/>
      <w:marLeft w:val="0"/>
      <w:marRight w:val="0"/>
      <w:marTop w:val="0"/>
      <w:marBottom w:val="0"/>
      <w:divBdr>
        <w:top w:val="none" w:sz="0" w:space="0" w:color="auto"/>
        <w:left w:val="none" w:sz="0" w:space="0" w:color="auto"/>
        <w:bottom w:val="none" w:sz="0" w:space="0" w:color="auto"/>
        <w:right w:val="none" w:sz="0" w:space="0" w:color="auto"/>
      </w:divBdr>
    </w:div>
    <w:div w:id="793476240">
      <w:bodyDiv w:val="1"/>
      <w:marLeft w:val="0"/>
      <w:marRight w:val="0"/>
      <w:marTop w:val="0"/>
      <w:marBottom w:val="0"/>
      <w:divBdr>
        <w:top w:val="none" w:sz="0" w:space="0" w:color="auto"/>
        <w:left w:val="none" w:sz="0" w:space="0" w:color="auto"/>
        <w:bottom w:val="none" w:sz="0" w:space="0" w:color="auto"/>
        <w:right w:val="none" w:sz="0" w:space="0" w:color="auto"/>
      </w:divBdr>
    </w:div>
    <w:div w:id="796605633">
      <w:bodyDiv w:val="1"/>
      <w:marLeft w:val="0"/>
      <w:marRight w:val="0"/>
      <w:marTop w:val="0"/>
      <w:marBottom w:val="0"/>
      <w:divBdr>
        <w:top w:val="none" w:sz="0" w:space="0" w:color="auto"/>
        <w:left w:val="none" w:sz="0" w:space="0" w:color="auto"/>
        <w:bottom w:val="none" w:sz="0" w:space="0" w:color="auto"/>
        <w:right w:val="none" w:sz="0" w:space="0" w:color="auto"/>
      </w:divBdr>
    </w:div>
    <w:div w:id="823132809">
      <w:bodyDiv w:val="1"/>
      <w:marLeft w:val="0"/>
      <w:marRight w:val="0"/>
      <w:marTop w:val="0"/>
      <w:marBottom w:val="0"/>
      <w:divBdr>
        <w:top w:val="none" w:sz="0" w:space="0" w:color="auto"/>
        <w:left w:val="none" w:sz="0" w:space="0" w:color="auto"/>
        <w:bottom w:val="none" w:sz="0" w:space="0" w:color="auto"/>
        <w:right w:val="none" w:sz="0" w:space="0" w:color="auto"/>
      </w:divBdr>
    </w:div>
    <w:div w:id="825710867">
      <w:bodyDiv w:val="1"/>
      <w:marLeft w:val="0"/>
      <w:marRight w:val="0"/>
      <w:marTop w:val="0"/>
      <w:marBottom w:val="0"/>
      <w:divBdr>
        <w:top w:val="none" w:sz="0" w:space="0" w:color="auto"/>
        <w:left w:val="none" w:sz="0" w:space="0" w:color="auto"/>
        <w:bottom w:val="none" w:sz="0" w:space="0" w:color="auto"/>
        <w:right w:val="none" w:sz="0" w:space="0" w:color="auto"/>
      </w:divBdr>
    </w:div>
    <w:div w:id="827476338">
      <w:bodyDiv w:val="1"/>
      <w:marLeft w:val="0"/>
      <w:marRight w:val="0"/>
      <w:marTop w:val="0"/>
      <w:marBottom w:val="0"/>
      <w:divBdr>
        <w:top w:val="none" w:sz="0" w:space="0" w:color="auto"/>
        <w:left w:val="none" w:sz="0" w:space="0" w:color="auto"/>
        <w:bottom w:val="none" w:sz="0" w:space="0" w:color="auto"/>
        <w:right w:val="none" w:sz="0" w:space="0" w:color="auto"/>
      </w:divBdr>
      <w:divsChild>
        <w:div w:id="1182623886">
          <w:marLeft w:val="240"/>
          <w:marRight w:val="90"/>
          <w:marTop w:val="120"/>
          <w:marBottom w:val="75"/>
          <w:divBdr>
            <w:top w:val="none" w:sz="0" w:space="0" w:color="auto"/>
            <w:left w:val="none" w:sz="0" w:space="0" w:color="auto"/>
            <w:bottom w:val="none" w:sz="0" w:space="0" w:color="auto"/>
            <w:right w:val="none" w:sz="0" w:space="0" w:color="auto"/>
          </w:divBdr>
          <w:divsChild>
            <w:div w:id="1209997586">
              <w:marLeft w:val="180"/>
              <w:marRight w:val="0"/>
              <w:marTop w:val="180"/>
              <w:marBottom w:val="0"/>
              <w:divBdr>
                <w:top w:val="none" w:sz="0" w:space="0" w:color="auto"/>
                <w:left w:val="none" w:sz="0" w:space="0" w:color="auto"/>
                <w:bottom w:val="none" w:sz="0" w:space="0" w:color="auto"/>
                <w:right w:val="none" w:sz="0" w:space="0" w:color="auto"/>
              </w:divBdr>
            </w:div>
            <w:div w:id="142491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987737">
      <w:bodyDiv w:val="1"/>
      <w:marLeft w:val="0"/>
      <w:marRight w:val="0"/>
      <w:marTop w:val="0"/>
      <w:marBottom w:val="0"/>
      <w:divBdr>
        <w:top w:val="none" w:sz="0" w:space="0" w:color="auto"/>
        <w:left w:val="none" w:sz="0" w:space="0" w:color="auto"/>
        <w:bottom w:val="none" w:sz="0" w:space="0" w:color="auto"/>
        <w:right w:val="none" w:sz="0" w:space="0" w:color="auto"/>
      </w:divBdr>
    </w:div>
    <w:div w:id="852114418">
      <w:bodyDiv w:val="1"/>
      <w:marLeft w:val="0"/>
      <w:marRight w:val="0"/>
      <w:marTop w:val="0"/>
      <w:marBottom w:val="0"/>
      <w:divBdr>
        <w:top w:val="none" w:sz="0" w:space="0" w:color="auto"/>
        <w:left w:val="none" w:sz="0" w:space="0" w:color="auto"/>
        <w:bottom w:val="none" w:sz="0" w:space="0" w:color="auto"/>
        <w:right w:val="none" w:sz="0" w:space="0" w:color="auto"/>
      </w:divBdr>
    </w:div>
    <w:div w:id="859582350">
      <w:bodyDiv w:val="1"/>
      <w:marLeft w:val="0"/>
      <w:marRight w:val="0"/>
      <w:marTop w:val="0"/>
      <w:marBottom w:val="0"/>
      <w:divBdr>
        <w:top w:val="none" w:sz="0" w:space="0" w:color="auto"/>
        <w:left w:val="none" w:sz="0" w:space="0" w:color="auto"/>
        <w:bottom w:val="none" w:sz="0" w:space="0" w:color="auto"/>
        <w:right w:val="none" w:sz="0" w:space="0" w:color="auto"/>
      </w:divBdr>
    </w:div>
    <w:div w:id="871455745">
      <w:bodyDiv w:val="1"/>
      <w:marLeft w:val="0"/>
      <w:marRight w:val="0"/>
      <w:marTop w:val="0"/>
      <w:marBottom w:val="0"/>
      <w:divBdr>
        <w:top w:val="none" w:sz="0" w:space="0" w:color="auto"/>
        <w:left w:val="none" w:sz="0" w:space="0" w:color="auto"/>
        <w:bottom w:val="none" w:sz="0" w:space="0" w:color="auto"/>
        <w:right w:val="none" w:sz="0" w:space="0" w:color="auto"/>
      </w:divBdr>
    </w:div>
    <w:div w:id="882520248">
      <w:bodyDiv w:val="1"/>
      <w:marLeft w:val="0"/>
      <w:marRight w:val="0"/>
      <w:marTop w:val="0"/>
      <w:marBottom w:val="0"/>
      <w:divBdr>
        <w:top w:val="none" w:sz="0" w:space="0" w:color="auto"/>
        <w:left w:val="none" w:sz="0" w:space="0" w:color="auto"/>
        <w:bottom w:val="none" w:sz="0" w:space="0" w:color="auto"/>
        <w:right w:val="none" w:sz="0" w:space="0" w:color="auto"/>
      </w:divBdr>
    </w:div>
    <w:div w:id="901479990">
      <w:bodyDiv w:val="1"/>
      <w:marLeft w:val="0"/>
      <w:marRight w:val="0"/>
      <w:marTop w:val="0"/>
      <w:marBottom w:val="0"/>
      <w:divBdr>
        <w:top w:val="none" w:sz="0" w:space="0" w:color="auto"/>
        <w:left w:val="none" w:sz="0" w:space="0" w:color="auto"/>
        <w:bottom w:val="none" w:sz="0" w:space="0" w:color="auto"/>
        <w:right w:val="none" w:sz="0" w:space="0" w:color="auto"/>
      </w:divBdr>
    </w:div>
    <w:div w:id="904804307">
      <w:bodyDiv w:val="1"/>
      <w:marLeft w:val="0"/>
      <w:marRight w:val="0"/>
      <w:marTop w:val="0"/>
      <w:marBottom w:val="0"/>
      <w:divBdr>
        <w:top w:val="none" w:sz="0" w:space="0" w:color="auto"/>
        <w:left w:val="none" w:sz="0" w:space="0" w:color="auto"/>
        <w:bottom w:val="none" w:sz="0" w:space="0" w:color="auto"/>
        <w:right w:val="none" w:sz="0" w:space="0" w:color="auto"/>
      </w:divBdr>
    </w:div>
    <w:div w:id="920943602">
      <w:bodyDiv w:val="1"/>
      <w:marLeft w:val="0"/>
      <w:marRight w:val="0"/>
      <w:marTop w:val="0"/>
      <w:marBottom w:val="0"/>
      <w:divBdr>
        <w:top w:val="none" w:sz="0" w:space="0" w:color="auto"/>
        <w:left w:val="none" w:sz="0" w:space="0" w:color="auto"/>
        <w:bottom w:val="none" w:sz="0" w:space="0" w:color="auto"/>
        <w:right w:val="none" w:sz="0" w:space="0" w:color="auto"/>
      </w:divBdr>
    </w:div>
    <w:div w:id="923223772">
      <w:bodyDiv w:val="1"/>
      <w:marLeft w:val="0"/>
      <w:marRight w:val="0"/>
      <w:marTop w:val="0"/>
      <w:marBottom w:val="0"/>
      <w:divBdr>
        <w:top w:val="none" w:sz="0" w:space="0" w:color="auto"/>
        <w:left w:val="none" w:sz="0" w:space="0" w:color="auto"/>
        <w:bottom w:val="none" w:sz="0" w:space="0" w:color="auto"/>
        <w:right w:val="none" w:sz="0" w:space="0" w:color="auto"/>
      </w:divBdr>
    </w:div>
    <w:div w:id="928469392">
      <w:bodyDiv w:val="1"/>
      <w:marLeft w:val="0"/>
      <w:marRight w:val="0"/>
      <w:marTop w:val="0"/>
      <w:marBottom w:val="0"/>
      <w:divBdr>
        <w:top w:val="none" w:sz="0" w:space="0" w:color="auto"/>
        <w:left w:val="none" w:sz="0" w:space="0" w:color="auto"/>
        <w:bottom w:val="none" w:sz="0" w:space="0" w:color="auto"/>
        <w:right w:val="none" w:sz="0" w:space="0" w:color="auto"/>
      </w:divBdr>
    </w:div>
    <w:div w:id="935359348">
      <w:bodyDiv w:val="1"/>
      <w:marLeft w:val="0"/>
      <w:marRight w:val="0"/>
      <w:marTop w:val="0"/>
      <w:marBottom w:val="0"/>
      <w:divBdr>
        <w:top w:val="none" w:sz="0" w:space="0" w:color="auto"/>
        <w:left w:val="none" w:sz="0" w:space="0" w:color="auto"/>
        <w:bottom w:val="none" w:sz="0" w:space="0" w:color="auto"/>
        <w:right w:val="none" w:sz="0" w:space="0" w:color="auto"/>
      </w:divBdr>
    </w:div>
    <w:div w:id="943266515">
      <w:bodyDiv w:val="1"/>
      <w:marLeft w:val="0"/>
      <w:marRight w:val="0"/>
      <w:marTop w:val="0"/>
      <w:marBottom w:val="0"/>
      <w:divBdr>
        <w:top w:val="none" w:sz="0" w:space="0" w:color="auto"/>
        <w:left w:val="none" w:sz="0" w:space="0" w:color="auto"/>
        <w:bottom w:val="none" w:sz="0" w:space="0" w:color="auto"/>
        <w:right w:val="none" w:sz="0" w:space="0" w:color="auto"/>
      </w:divBdr>
    </w:div>
    <w:div w:id="948008640">
      <w:bodyDiv w:val="1"/>
      <w:marLeft w:val="0"/>
      <w:marRight w:val="0"/>
      <w:marTop w:val="0"/>
      <w:marBottom w:val="0"/>
      <w:divBdr>
        <w:top w:val="none" w:sz="0" w:space="0" w:color="auto"/>
        <w:left w:val="none" w:sz="0" w:space="0" w:color="auto"/>
        <w:bottom w:val="none" w:sz="0" w:space="0" w:color="auto"/>
        <w:right w:val="none" w:sz="0" w:space="0" w:color="auto"/>
      </w:divBdr>
    </w:div>
    <w:div w:id="949975830">
      <w:bodyDiv w:val="1"/>
      <w:marLeft w:val="0"/>
      <w:marRight w:val="0"/>
      <w:marTop w:val="0"/>
      <w:marBottom w:val="0"/>
      <w:divBdr>
        <w:top w:val="none" w:sz="0" w:space="0" w:color="auto"/>
        <w:left w:val="none" w:sz="0" w:space="0" w:color="auto"/>
        <w:bottom w:val="none" w:sz="0" w:space="0" w:color="auto"/>
        <w:right w:val="none" w:sz="0" w:space="0" w:color="auto"/>
      </w:divBdr>
    </w:div>
    <w:div w:id="977999705">
      <w:bodyDiv w:val="1"/>
      <w:marLeft w:val="0"/>
      <w:marRight w:val="0"/>
      <w:marTop w:val="0"/>
      <w:marBottom w:val="0"/>
      <w:divBdr>
        <w:top w:val="none" w:sz="0" w:space="0" w:color="auto"/>
        <w:left w:val="none" w:sz="0" w:space="0" w:color="auto"/>
        <w:bottom w:val="none" w:sz="0" w:space="0" w:color="auto"/>
        <w:right w:val="none" w:sz="0" w:space="0" w:color="auto"/>
      </w:divBdr>
    </w:div>
    <w:div w:id="982663992">
      <w:bodyDiv w:val="1"/>
      <w:marLeft w:val="0"/>
      <w:marRight w:val="0"/>
      <w:marTop w:val="0"/>
      <w:marBottom w:val="0"/>
      <w:divBdr>
        <w:top w:val="none" w:sz="0" w:space="0" w:color="auto"/>
        <w:left w:val="none" w:sz="0" w:space="0" w:color="auto"/>
        <w:bottom w:val="none" w:sz="0" w:space="0" w:color="auto"/>
        <w:right w:val="none" w:sz="0" w:space="0" w:color="auto"/>
      </w:divBdr>
    </w:div>
    <w:div w:id="985622134">
      <w:bodyDiv w:val="1"/>
      <w:marLeft w:val="0"/>
      <w:marRight w:val="0"/>
      <w:marTop w:val="0"/>
      <w:marBottom w:val="0"/>
      <w:divBdr>
        <w:top w:val="none" w:sz="0" w:space="0" w:color="auto"/>
        <w:left w:val="none" w:sz="0" w:space="0" w:color="auto"/>
        <w:bottom w:val="none" w:sz="0" w:space="0" w:color="auto"/>
        <w:right w:val="none" w:sz="0" w:space="0" w:color="auto"/>
      </w:divBdr>
    </w:div>
    <w:div w:id="1005090054">
      <w:bodyDiv w:val="1"/>
      <w:marLeft w:val="0"/>
      <w:marRight w:val="0"/>
      <w:marTop w:val="0"/>
      <w:marBottom w:val="0"/>
      <w:divBdr>
        <w:top w:val="none" w:sz="0" w:space="0" w:color="auto"/>
        <w:left w:val="none" w:sz="0" w:space="0" w:color="auto"/>
        <w:bottom w:val="none" w:sz="0" w:space="0" w:color="auto"/>
        <w:right w:val="none" w:sz="0" w:space="0" w:color="auto"/>
      </w:divBdr>
    </w:div>
    <w:div w:id="1006597350">
      <w:bodyDiv w:val="1"/>
      <w:marLeft w:val="0"/>
      <w:marRight w:val="0"/>
      <w:marTop w:val="0"/>
      <w:marBottom w:val="0"/>
      <w:divBdr>
        <w:top w:val="none" w:sz="0" w:space="0" w:color="auto"/>
        <w:left w:val="none" w:sz="0" w:space="0" w:color="auto"/>
        <w:bottom w:val="none" w:sz="0" w:space="0" w:color="auto"/>
        <w:right w:val="none" w:sz="0" w:space="0" w:color="auto"/>
      </w:divBdr>
    </w:div>
    <w:div w:id="1013459747">
      <w:bodyDiv w:val="1"/>
      <w:marLeft w:val="0"/>
      <w:marRight w:val="0"/>
      <w:marTop w:val="0"/>
      <w:marBottom w:val="0"/>
      <w:divBdr>
        <w:top w:val="none" w:sz="0" w:space="0" w:color="auto"/>
        <w:left w:val="none" w:sz="0" w:space="0" w:color="auto"/>
        <w:bottom w:val="none" w:sz="0" w:space="0" w:color="auto"/>
        <w:right w:val="none" w:sz="0" w:space="0" w:color="auto"/>
      </w:divBdr>
    </w:div>
    <w:div w:id="1014310047">
      <w:bodyDiv w:val="1"/>
      <w:marLeft w:val="0"/>
      <w:marRight w:val="0"/>
      <w:marTop w:val="0"/>
      <w:marBottom w:val="0"/>
      <w:divBdr>
        <w:top w:val="none" w:sz="0" w:space="0" w:color="auto"/>
        <w:left w:val="none" w:sz="0" w:space="0" w:color="auto"/>
        <w:bottom w:val="none" w:sz="0" w:space="0" w:color="auto"/>
        <w:right w:val="none" w:sz="0" w:space="0" w:color="auto"/>
      </w:divBdr>
    </w:div>
    <w:div w:id="1015158705">
      <w:bodyDiv w:val="1"/>
      <w:marLeft w:val="0"/>
      <w:marRight w:val="0"/>
      <w:marTop w:val="0"/>
      <w:marBottom w:val="0"/>
      <w:divBdr>
        <w:top w:val="none" w:sz="0" w:space="0" w:color="auto"/>
        <w:left w:val="none" w:sz="0" w:space="0" w:color="auto"/>
        <w:bottom w:val="none" w:sz="0" w:space="0" w:color="auto"/>
        <w:right w:val="none" w:sz="0" w:space="0" w:color="auto"/>
      </w:divBdr>
    </w:div>
    <w:div w:id="1050567855">
      <w:bodyDiv w:val="1"/>
      <w:marLeft w:val="0"/>
      <w:marRight w:val="0"/>
      <w:marTop w:val="0"/>
      <w:marBottom w:val="0"/>
      <w:divBdr>
        <w:top w:val="none" w:sz="0" w:space="0" w:color="auto"/>
        <w:left w:val="none" w:sz="0" w:space="0" w:color="auto"/>
        <w:bottom w:val="none" w:sz="0" w:space="0" w:color="auto"/>
        <w:right w:val="none" w:sz="0" w:space="0" w:color="auto"/>
      </w:divBdr>
    </w:div>
    <w:div w:id="1053425925">
      <w:bodyDiv w:val="1"/>
      <w:marLeft w:val="0"/>
      <w:marRight w:val="0"/>
      <w:marTop w:val="0"/>
      <w:marBottom w:val="0"/>
      <w:divBdr>
        <w:top w:val="none" w:sz="0" w:space="0" w:color="auto"/>
        <w:left w:val="none" w:sz="0" w:space="0" w:color="auto"/>
        <w:bottom w:val="none" w:sz="0" w:space="0" w:color="auto"/>
        <w:right w:val="none" w:sz="0" w:space="0" w:color="auto"/>
      </w:divBdr>
    </w:div>
    <w:div w:id="1057433416">
      <w:bodyDiv w:val="1"/>
      <w:marLeft w:val="0"/>
      <w:marRight w:val="0"/>
      <w:marTop w:val="0"/>
      <w:marBottom w:val="0"/>
      <w:divBdr>
        <w:top w:val="none" w:sz="0" w:space="0" w:color="auto"/>
        <w:left w:val="none" w:sz="0" w:space="0" w:color="auto"/>
        <w:bottom w:val="none" w:sz="0" w:space="0" w:color="auto"/>
        <w:right w:val="none" w:sz="0" w:space="0" w:color="auto"/>
      </w:divBdr>
    </w:div>
    <w:div w:id="1075585933">
      <w:bodyDiv w:val="1"/>
      <w:marLeft w:val="0"/>
      <w:marRight w:val="0"/>
      <w:marTop w:val="0"/>
      <w:marBottom w:val="0"/>
      <w:divBdr>
        <w:top w:val="none" w:sz="0" w:space="0" w:color="auto"/>
        <w:left w:val="none" w:sz="0" w:space="0" w:color="auto"/>
        <w:bottom w:val="none" w:sz="0" w:space="0" w:color="auto"/>
        <w:right w:val="none" w:sz="0" w:space="0" w:color="auto"/>
      </w:divBdr>
    </w:div>
    <w:div w:id="1077433054">
      <w:bodyDiv w:val="1"/>
      <w:marLeft w:val="0"/>
      <w:marRight w:val="0"/>
      <w:marTop w:val="0"/>
      <w:marBottom w:val="0"/>
      <w:divBdr>
        <w:top w:val="none" w:sz="0" w:space="0" w:color="auto"/>
        <w:left w:val="none" w:sz="0" w:space="0" w:color="auto"/>
        <w:bottom w:val="none" w:sz="0" w:space="0" w:color="auto"/>
        <w:right w:val="none" w:sz="0" w:space="0" w:color="auto"/>
      </w:divBdr>
    </w:div>
    <w:div w:id="1083599861">
      <w:bodyDiv w:val="1"/>
      <w:marLeft w:val="0"/>
      <w:marRight w:val="0"/>
      <w:marTop w:val="0"/>
      <w:marBottom w:val="0"/>
      <w:divBdr>
        <w:top w:val="none" w:sz="0" w:space="0" w:color="auto"/>
        <w:left w:val="none" w:sz="0" w:space="0" w:color="auto"/>
        <w:bottom w:val="none" w:sz="0" w:space="0" w:color="auto"/>
        <w:right w:val="none" w:sz="0" w:space="0" w:color="auto"/>
      </w:divBdr>
    </w:div>
    <w:div w:id="1086994916">
      <w:bodyDiv w:val="1"/>
      <w:marLeft w:val="0"/>
      <w:marRight w:val="0"/>
      <w:marTop w:val="0"/>
      <w:marBottom w:val="0"/>
      <w:divBdr>
        <w:top w:val="none" w:sz="0" w:space="0" w:color="auto"/>
        <w:left w:val="none" w:sz="0" w:space="0" w:color="auto"/>
        <w:bottom w:val="none" w:sz="0" w:space="0" w:color="auto"/>
        <w:right w:val="none" w:sz="0" w:space="0" w:color="auto"/>
      </w:divBdr>
    </w:div>
    <w:div w:id="1097599826">
      <w:bodyDiv w:val="1"/>
      <w:marLeft w:val="0"/>
      <w:marRight w:val="0"/>
      <w:marTop w:val="0"/>
      <w:marBottom w:val="0"/>
      <w:divBdr>
        <w:top w:val="none" w:sz="0" w:space="0" w:color="auto"/>
        <w:left w:val="none" w:sz="0" w:space="0" w:color="auto"/>
        <w:bottom w:val="none" w:sz="0" w:space="0" w:color="auto"/>
        <w:right w:val="none" w:sz="0" w:space="0" w:color="auto"/>
      </w:divBdr>
    </w:div>
    <w:div w:id="1098481135">
      <w:bodyDiv w:val="1"/>
      <w:marLeft w:val="0"/>
      <w:marRight w:val="0"/>
      <w:marTop w:val="0"/>
      <w:marBottom w:val="0"/>
      <w:divBdr>
        <w:top w:val="none" w:sz="0" w:space="0" w:color="auto"/>
        <w:left w:val="none" w:sz="0" w:space="0" w:color="auto"/>
        <w:bottom w:val="none" w:sz="0" w:space="0" w:color="auto"/>
        <w:right w:val="none" w:sz="0" w:space="0" w:color="auto"/>
      </w:divBdr>
    </w:div>
    <w:div w:id="1110902361">
      <w:bodyDiv w:val="1"/>
      <w:marLeft w:val="0"/>
      <w:marRight w:val="0"/>
      <w:marTop w:val="0"/>
      <w:marBottom w:val="0"/>
      <w:divBdr>
        <w:top w:val="none" w:sz="0" w:space="0" w:color="auto"/>
        <w:left w:val="none" w:sz="0" w:space="0" w:color="auto"/>
        <w:bottom w:val="none" w:sz="0" w:space="0" w:color="auto"/>
        <w:right w:val="none" w:sz="0" w:space="0" w:color="auto"/>
      </w:divBdr>
    </w:div>
    <w:div w:id="1124806429">
      <w:bodyDiv w:val="1"/>
      <w:marLeft w:val="0"/>
      <w:marRight w:val="0"/>
      <w:marTop w:val="0"/>
      <w:marBottom w:val="0"/>
      <w:divBdr>
        <w:top w:val="none" w:sz="0" w:space="0" w:color="auto"/>
        <w:left w:val="none" w:sz="0" w:space="0" w:color="auto"/>
        <w:bottom w:val="none" w:sz="0" w:space="0" w:color="auto"/>
        <w:right w:val="none" w:sz="0" w:space="0" w:color="auto"/>
      </w:divBdr>
    </w:div>
    <w:div w:id="1125857347">
      <w:bodyDiv w:val="1"/>
      <w:marLeft w:val="0"/>
      <w:marRight w:val="0"/>
      <w:marTop w:val="0"/>
      <w:marBottom w:val="0"/>
      <w:divBdr>
        <w:top w:val="none" w:sz="0" w:space="0" w:color="auto"/>
        <w:left w:val="none" w:sz="0" w:space="0" w:color="auto"/>
        <w:bottom w:val="none" w:sz="0" w:space="0" w:color="auto"/>
        <w:right w:val="none" w:sz="0" w:space="0" w:color="auto"/>
      </w:divBdr>
    </w:div>
    <w:div w:id="1134326075">
      <w:bodyDiv w:val="1"/>
      <w:marLeft w:val="0"/>
      <w:marRight w:val="0"/>
      <w:marTop w:val="0"/>
      <w:marBottom w:val="0"/>
      <w:divBdr>
        <w:top w:val="none" w:sz="0" w:space="0" w:color="auto"/>
        <w:left w:val="none" w:sz="0" w:space="0" w:color="auto"/>
        <w:bottom w:val="none" w:sz="0" w:space="0" w:color="auto"/>
        <w:right w:val="none" w:sz="0" w:space="0" w:color="auto"/>
      </w:divBdr>
    </w:div>
    <w:div w:id="1137262575">
      <w:bodyDiv w:val="1"/>
      <w:marLeft w:val="0"/>
      <w:marRight w:val="0"/>
      <w:marTop w:val="0"/>
      <w:marBottom w:val="0"/>
      <w:divBdr>
        <w:top w:val="none" w:sz="0" w:space="0" w:color="auto"/>
        <w:left w:val="none" w:sz="0" w:space="0" w:color="auto"/>
        <w:bottom w:val="none" w:sz="0" w:space="0" w:color="auto"/>
        <w:right w:val="none" w:sz="0" w:space="0" w:color="auto"/>
      </w:divBdr>
    </w:div>
    <w:div w:id="1155027720">
      <w:bodyDiv w:val="1"/>
      <w:marLeft w:val="0"/>
      <w:marRight w:val="0"/>
      <w:marTop w:val="0"/>
      <w:marBottom w:val="0"/>
      <w:divBdr>
        <w:top w:val="none" w:sz="0" w:space="0" w:color="auto"/>
        <w:left w:val="none" w:sz="0" w:space="0" w:color="auto"/>
        <w:bottom w:val="none" w:sz="0" w:space="0" w:color="auto"/>
        <w:right w:val="none" w:sz="0" w:space="0" w:color="auto"/>
      </w:divBdr>
    </w:div>
    <w:div w:id="1158691929">
      <w:bodyDiv w:val="1"/>
      <w:marLeft w:val="0"/>
      <w:marRight w:val="0"/>
      <w:marTop w:val="0"/>
      <w:marBottom w:val="0"/>
      <w:divBdr>
        <w:top w:val="none" w:sz="0" w:space="0" w:color="auto"/>
        <w:left w:val="none" w:sz="0" w:space="0" w:color="auto"/>
        <w:bottom w:val="none" w:sz="0" w:space="0" w:color="auto"/>
        <w:right w:val="none" w:sz="0" w:space="0" w:color="auto"/>
      </w:divBdr>
    </w:div>
    <w:div w:id="1170214738">
      <w:bodyDiv w:val="1"/>
      <w:marLeft w:val="0"/>
      <w:marRight w:val="0"/>
      <w:marTop w:val="0"/>
      <w:marBottom w:val="0"/>
      <w:divBdr>
        <w:top w:val="none" w:sz="0" w:space="0" w:color="auto"/>
        <w:left w:val="none" w:sz="0" w:space="0" w:color="auto"/>
        <w:bottom w:val="none" w:sz="0" w:space="0" w:color="auto"/>
        <w:right w:val="none" w:sz="0" w:space="0" w:color="auto"/>
      </w:divBdr>
    </w:div>
    <w:div w:id="1174107280">
      <w:bodyDiv w:val="1"/>
      <w:marLeft w:val="0"/>
      <w:marRight w:val="0"/>
      <w:marTop w:val="0"/>
      <w:marBottom w:val="0"/>
      <w:divBdr>
        <w:top w:val="none" w:sz="0" w:space="0" w:color="auto"/>
        <w:left w:val="none" w:sz="0" w:space="0" w:color="auto"/>
        <w:bottom w:val="none" w:sz="0" w:space="0" w:color="auto"/>
        <w:right w:val="none" w:sz="0" w:space="0" w:color="auto"/>
      </w:divBdr>
    </w:div>
    <w:div w:id="1174490439">
      <w:bodyDiv w:val="1"/>
      <w:marLeft w:val="0"/>
      <w:marRight w:val="0"/>
      <w:marTop w:val="0"/>
      <w:marBottom w:val="0"/>
      <w:divBdr>
        <w:top w:val="none" w:sz="0" w:space="0" w:color="auto"/>
        <w:left w:val="none" w:sz="0" w:space="0" w:color="auto"/>
        <w:bottom w:val="none" w:sz="0" w:space="0" w:color="auto"/>
        <w:right w:val="none" w:sz="0" w:space="0" w:color="auto"/>
      </w:divBdr>
    </w:div>
    <w:div w:id="1176306798">
      <w:bodyDiv w:val="1"/>
      <w:marLeft w:val="0"/>
      <w:marRight w:val="0"/>
      <w:marTop w:val="0"/>
      <w:marBottom w:val="0"/>
      <w:divBdr>
        <w:top w:val="none" w:sz="0" w:space="0" w:color="auto"/>
        <w:left w:val="none" w:sz="0" w:space="0" w:color="auto"/>
        <w:bottom w:val="none" w:sz="0" w:space="0" w:color="auto"/>
        <w:right w:val="none" w:sz="0" w:space="0" w:color="auto"/>
      </w:divBdr>
    </w:div>
    <w:div w:id="1181821986">
      <w:bodyDiv w:val="1"/>
      <w:marLeft w:val="0"/>
      <w:marRight w:val="0"/>
      <w:marTop w:val="0"/>
      <w:marBottom w:val="0"/>
      <w:divBdr>
        <w:top w:val="none" w:sz="0" w:space="0" w:color="auto"/>
        <w:left w:val="none" w:sz="0" w:space="0" w:color="auto"/>
        <w:bottom w:val="none" w:sz="0" w:space="0" w:color="auto"/>
        <w:right w:val="none" w:sz="0" w:space="0" w:color="auto"/>
      </w:divBdr>
    </w:div>
    <w:div w:id="1185099214">
      <w:bodyDiv w:val="1"/>
      <w:marLeft w:val="0"/>
      <w:marRight w:val="0"/>
      <w:marTop w:val="0"/>
      <w:marBottom w:val="0"/>
      <w:divBdr>
        <w:top w:val="none" w:sz="0" w:space="0" w:color="auto"/>
        <w:left w:val="none" w:sz="0" w:space="0" w:color="auto"/>
        <w:bottom w:val="none" w:sz="0" w:space="0" w:color="auto"/>
        <w:right w:val="none" w:sz="0" w:space="0" w:color="auto"/>
      </w:divBdr>
    </w:div>
    <w:div w:id="1185555704">
      <w:bodyDiv w:val="1"/>
      <w:marLeft w:val="0"/>
      <w:marRight w:val="0"/>
      <w:marTop w:val="0"/>
      <w:marBottom w:val="0"/>
      <w:divBdr>
        <w:top w:val="none" w:sz="0" w:space="0" w:color="auto"/>
        <w:left w:val="none" w:sz="0" w:space="0" w:color="auto"/>
        <w:bottom w:val="none" w:sz="0" w:space="0" w:color="auto"/>
        <w:right w:val="none" w:sz="0" w:space="0" w:color="auto"/>
      </w:divBdr>
    </w:div>
    <w:div w:id="1186677232">
      <w:bodyDiv w:val="1"/>
      <w:marLeft w:val="0"/>
      <w:marRight w:val="0"/>
      <w:marTop w:val="0"/>
      <w:marBottom w:val="0"/>
      <w:divBdr>
        <w:top w:val="none" w:sz="0" w:space="0" w:color="auto"/>
        <w:left w:val="none" w:sz="0" w:space="0" w:color="auto"/>
        <w:bottom w:val="none" w:sz="0" w:space="0" w:color="auto"/>
        <w:right w:val="none" w:sz="0" w:space="0" w:color="auto"/>
      </w:divBdr>
    </w:div>
    <w:div w:id="1193956973">
      <w:bodyDiv w:val="1"/>
      <w:marLeft w:val="0"/>
      <w:marRight w:val="0"/>
      <w:marTop w:val="0"/>
      <w:marBottom w:val="0"/>
      <w:divBdr>
        <w:top w:val="none" w:sz="0" w:space="0" w:color="auto"/>
        <w:left w:val="none" w:sz="0" w:space="0" w:color="auto"/>
        <w:bottom w:val="none" w:sz="0" w:space="0" w:color="auto"/>
        <w:right w:val="none" w:sz="0" w:space="0" w:color="auto"/>
      </w:divBdr>
    </w:div>
    <w:div w:id="1216621884">
      <w:bodyDiv w:val="1"/>
      <w:marLeft w:val="0"/>
      <w:marRight w:val="0"/>
      <w:marTop w:val="0"/>
      <w:marBottom w:val="0"/>
      <w:divBdr>
        <w:top w:val="none" w:sz="0" w:space="0" w:color="auto"/>
        <w:left w:val="none" w:sz="0" w:space="0" w:color="auto"/>
        <w:bottom w:val="none" w:sz="0" w:space="0" w:color="auto"/>
        <w:right w:val="none" w:sz="0" w:space="0" w:color="auto"/>
      </w:divBdr>
    </w:div>
    <w:div w:id="1216770321">
      <w:bodyDiv w:val="1"/>
      <w:marLeft w:val="0"/>
      <w:marRight w:val="0"/>
      <w:marTop w:val="0"/>
      <w:marBottom w:val="0"/>
      <w:divBdr>
        <w:top w:val="none" w:sz="0" w:space="0" w:color="auto"/>
        <w:left w:val="none" w:sz="0" w:space="0" w:color="auto"/>
        <w:bottom w:val="none" w:sz="0" w:space="0" w:color="auto"/>
        <w:right w:val="none" w:sz="0" w:space="0" w:color="auto"/>
      </w:divBdr>
    </w:div>
    <w:div w:id="1220901637">
      <w:bodyDiv w:val="1"/>
      <w:marLeft w:val="0"/>
      <w:marRight w:val="0"/>
      <w:marTop w:val="0"/>
      <w:marBottom w:val="0"/>
      <w:divBdr>
        <w:top w:val="none" w:sz="0" w:space="0" w:color="auto"/>
        <w:left w:val="none" w:sz="0" w:space="0" w:color="auto"/>
        <w:bottom w:val="none" w:sz="0" w:space="0" w:color="auto"/>
        <w:right w:val="none" w:sz="0" w:space="0" w:color="auto"/>
      </w:divBdr>
    </w:div>
    <w:div w:id="1244728412">
      <w:bodyDiv w:val="1"/>
      <w:marLeft w:val="0"/>
      <w:marRight w:val="0"/>
      <w:marTop w:val="0"/>
      <w:marBottom w:val="0"/>
      <w:divBdr>
        <w:top w:val="none" w:sz="0" w:space="0" w:color="auto"/>
        <w:left w:val="none" w:sz="0" w:space="0" w:color="auto"/>
        <w:bottom w:val="none" w:sz="0" w:space="0" w:color="auto"/>
        <w:right w:val="none" w:sz="0" w:space="0" w:color="auto"/>
      </w:divBdr>
    </w:div>
    <w:div w:id="1251425137">
      <w:bodyDiv w:val="1"/>
      <w:marLeft w:val="0"/>
      <w:marRight w:val="0"/>
      <w:marTop w:val="0"/>
      <w:marBottom w:val="0"/>
      <w:divBdr>
        <w:top w:val="none" w:sz="0" w:space="0" w:color="auto"/>
        <w:left w:val="none" w:sz="0" w:space="0" w:color="auto"/>
        <w:bottom w:val="none" w:sz="0" w:space="0" w:color="auto"/>
        <w:right w:val="none" w:sz="0" w:space="0" w:color="auto"/>
      </w:divBdr>
    </w:div>
    <w:div w:id="1253658280">
      <w:bodyDiv w:val="1"/>
      <w:marLeft w:val="0"/>
      <w:marRight w:val="0"/>
      <w:marTop w:val="0"/>
      <w:marBottom w:val="0"/>
      <w:divBdr>
        <w:top w:val="none" w:sz="0" w:space="0" w:color="auto"/>
        <w:left w:val="none" w:sz="0" w:space="0" w:color="auto"/>
        <w:bottom w:val="none" w:sz="0" w:space="0" w:color="auto"/>
        <w:right w:val="none" w:sz="0" w:space="0" w:color="auto"/>
      </w:divBdr>
    </w:div>
    <w:div w:id="1261254345">
      <w:bodyDiv w:val="1"/>
      <w:marLeft w:val="0"/>
      <w:marRight w:val="0"/>
      <w:marTop w:val="0"/>
      <w:marBottom w:val="0"/>
      <w:divBdr>
        <w:top w:val="none" w:sz="0" w:space="0" w:color="auto"/>
        <w:left w:val="none" w:sz="0" w:space="0" w:color="auto"/>
        <w:bottom w:val="none" w:sz="0" w:space="0" w:color="auto"/>
        <w:right w:val="none" w:sz="0" w:space="0" w:color="auto"/>
      </w:divBdr>
    </w:div>
    <w:div w:id="1262370873">
      <w:bodyDiv w:val="1"/>
      <w:marLeft w:val="0"/>
      <w:marRight w:val="0"/>
      <w:marTop w:val="0"/>
      <w:marBottom w:val="0"/>
      <w:divBdr>
        <w:top w:val="none" w:sz="0" w:space="0" w:color="auto"/>
        <w:left w:val="none" w:sz="0" w:space="0" w:color="auto"/>
        <w:bottom w:val="none" w:sz="0" w:space="0" w:color="auto"/>
        <w:right w:val="none" w:sz="0" w:space="0" w:color="auto"/>
      </w:divBdr>
    </w:div>
    <w:div w:id="1262909987">
      <w:bodyDiv w:val="1"/>
      <w:marLeft w:val="0"/>
      <w:marRight w:val="0"/>
      <w:marTop w:val="0"/>
      <w:marBottom w:val="0"/>
      <w:divBdr>
        <w:top w:val="none" w:sz="0" w:space="0" w:color="auto"/>
        <w:left w:val="none" w:sz="0" w:space="0" w:color="auto"/>
        <w:bottom w:val="none" w:sz="0" w:space="0" w:color="auto"/>
        <w:right w:val="none" w:sz="0" w:space="0" w:color="auto"/>
      </w:divBdr>
    </w:div>
    <w:div w:id="1274435005">
      <w:bodyDiv w:val="1"/>
      <w:marLeft w:val="0"/>
      <w:marRight w:val="0"/>
      <w:marTop w:val="0"/>
      <w:marBottom w:val="0"/>
      <w:divBdr>
        <w:top w:val="none" w:sz="0" w:space="0" w:color="auto"/>
        <w:left w:val="none" w:sz="0" w:space="0" w:color="auto"/>
        <w:bottom w:val="none" w:sz="0" w:space="0" w:color="auto"/>
        <w:right w:val="none" w:sz="0" w:space="0" w:color="auto"/>
      </w:divBdr>
      <w:divsChild>
        <w:div w:id="184711655">
          <w:marLeft w:val="240"/>
          <w:marRight w:val="90"/>
          <w:marTop w:val="120"/>
          <w:marBottom w:val="75"/>
          <w:divBdr>
            <w:top w:val="none" w:sz="0" w:space="0" w:color="auto"/>
            <w:left w:val="none" w:sz="0" w:space="0" w:color="auto"/>
            <w:bottom w:val="none" w:sz="0" w:space="0" w:color="auto"/>
            <w:right w:val="none" w:sz="0" w:space="0" w:color="auto"/>
          </w:divBdr>
          <w:divsChild>
            <w:div w:id="110673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49317">
      <w:bodyDiv w:val="1"/>
      <w:marLeft w:val="0"/>
      <w:marRight w:val="0"/>
      <w:marTop w:val="0"/>
      <w:marBottom w:val="0"/>
      <w:divBdr>
        <w:top w:val="none" w:sz="0" w:space="0" w:color="auto"/>
        <w:left w:val="none" w:sz="0" w:space="0" w:color="auto"/>
        <w:bottom w:val="none" w:sz="0" w:space="0" w:color="auto"/>
        <w:right w:val="none" w:sz="0" w:space="0" w:color="auto"/>
      </w:divBdr>
    </w:div>
    <w:div w:id="1278676178">
      <w:bodyDiv w:val="1"/>
      <w:marLeft w:val="0"/>
      <w:marRight w:val="0"/>
      <w:marTop w:val="0"/>
      <w:marBottom w:val="0"/>
      <w:divBdr>
        <w:top w:val="none" w:sz="0" w:space="0" w:color="auto"/>
        <w:left w:val="none" w:sz="0" w:space="0" w:color="auto"/>
        <w:bottom w:val="none" w:sz="0" w:space="0" w:color="auto"/>
        <w:right w:val="none" w:sz="0" w:space="0" w:color="auto"/>
      </w:divBdr>
    </w:div>
    <w:div w:id="1279722637">
      <w:bodyDiv w:val="1"/>
      <w:marLeft w:val="0"/>
      <w:marRight w:val="0"/>
      <w:marTop w:val="0"/>
      <w:marBottom w:val="0"/>
      <w:divBdr>
        <w:top w:val="none" w:sz="0" w:space="0" w:color="auto"/>
        <w:left w:val="none" w:sz="0" w:space="0" w:color="auto"/>
        <w:bottom w:val="none" w:sz="0" w:space="0" w:color="auto"/>
        <w:right w:val="none" w:sz="0" w:space="0" w:color="auto"/>
      </w:divBdr>
    </w:div>
    <w:div w:id="1282421182">
      <w:bodyDiv w:val="1"/>
      <w:marLeft w:val="0"/>
      <w:marRight w:val="0"/>
      <w:marTop w:val="0"/>
      <w:marBottom w:val="0"/>
      <w:divBdr>
        <w:top w:val="none" w:sz="0" w:space="0" w:color="auto"/>
        <w:left w:val="none" w:sz="0" w:space="0" w:color="auto"/>
        <w:bottom w:val="none" w:sz="0" w:space="0" w:color="auto"/>
        <w:right w:val="none" w:sz="0" w:space="0" w:color="auto"/>
      </w:divBdr>
    </w:div>
    <w:div w:id="1291664136">
      <w:bodyDiv w:val="1"/>
      <w:marLeft w:val="0"/>
      <w:marRight w:val="0"/>
      <w:marTop w:val="0"/>
      <w:marBottom w:val="0"/>
      <w:divBdr>
        <w:top w:val="none" w:sz="0" w:space="0" w:color="auto"/>
        <w:left w:val="none" w:sz="0" w:space="0" w:color="auto"/>
        <w:bottom w:val="none" w:sz="0" w:space="0" w:color="auto"/>
        <w:right w:val="none" w:sz="0" w:space="0" w:color="auto"/>
      </w:divBdr>
    </w:div>
    <w:div w:id="1291938583">
      <w:bodyDiv w:val="1"/>
      <w:marLeft w:val="0"/>
      <w:marRight w:val="0"/>
      <w:marTop w:val="0"/>
      <w:marBottom w:val="0"/>
      <w:divBdr>
        <w:top w:val="none" w:sz="0" w:space="0" w:color="auto"/>
        <w:left w:val="none" w:sz="0" w:space="0" w:color="auto"/>
        <w:bottom w:val="none" w:sz="0" w:space="0" w:color="auto"/>
        <w:right w:val="none" w:sz="0" w:space="0" w:color="auto"/>
      </w:divBdr>
    </w:div>
    <w:div w:id="1292788239">
      <w:bodyDiv w:val="1"/>
      <w:marLeft w:val="0"/>
      <w:marRight w:val="0"/>
      <w:marTop w:val="0"/>
      <w:marBottom w:val="0"/>
      <w:divBdr>
        <w:top w:val="none" w:sz="0" w:space="0" w:color="auto"/>
        <w:left w:val="none" w:sz="0" w:space="0" w:color="auto"/>
        <w:bottom w:val="none" w:sz="0" w:space="0" w:color="auto"/>
        <w:right w:val="none" w:sz="0" w:space="0" w:color="auto"/>
      </w:divBdr>
      <w:divsChild>
        <w:div w:id="923954189">
          <w:marLeft w:val="240"/>
          <w:marRight w:val="90"/>
          <w:marTop w:val="120"/>
          <w:marBottom w:val="75"/>
          <w:divBdr>
            <w:top w:val="none" w:sz="0" w:space="0" w:color="auto"/>
            <w:left w:val="none" w:sz="0" w:space="0" w:color="auto"/>
            <w:bottom w:val="none" w:sz="0" w:space="0" w:color="auto"/>
            <w:right w:val="none" w:sz="0" w:space="0" w:color="auto"/>
          </w:divBdr>
          <w:divsChild>
            <w:div w:id="121111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769902">
      <w:bodyDiv w:val="1"/>
      <w:marLeft w:val="0"/>
      <w:marRight w:val="0"/>
      <w:marTop w:val="0"/>
      <w:marBottom w:val="0"/>
      <w:divBdr>
        <w:top w:val="none" w:sz="0" w:space="0" w:color="auto"/>
        <w:left w:val="none" w:sz="0" w:space="0" w:color="auto"/>
        <w:bottom w:val="none" w:sz="0" w:space="0" w:color="auto"/>
        <w:right w:val="none" w:sz="0" w:space="0" w:color="auto"/>
      </w:divBdr>
    </w:div>
    <w:div w:id="1310551447">
      <w:bodyDiv w:val="1"/>
      <w:marLeft w:val="0"/>
      <w:marRight w:val="0"/>
      <w:marTop w:val="0"/>
      <w:marBottom w:val="0"/>
      <w:divBdr>
        <w:top w:val="none" w:sz="0" w:space="0" w:color="auto"/>
        <w:left w:val="none" w:sz="0" w:space="0" w:color="auto"/>
        <w:bottom w:val="none" w:sz="0" w:space="0" w:color="auto"/>
        <w:right w:val="none" w:sz="0" w:space="0" w:color="auto"/>
      </w:divBdr>
    </w:div>
    <w:div w:id="1340622244">
      <w:marLeft w:val="0"/>
      <w:marRight w:val="0"/>
      <w:marTop w:val="0"/>
      <w:marBottom w:val="0"/>
      <w:divBdr>
        <w:top w:val="none" w:sz="0" w:space="0" w:color="auto"/>
        <w:left w:val="none" w:sz="0" w:space="0" w:color="auto"/>
        <w:bottom w:val="none" w:sz="0" w:space="0" w:color="auto"/>
        <w:right w:val="none" w:sz="0" w:space="0" w:color="auto"/>
      </w:divBdr>
      <w:divsChild>
        <w:div w:id="1536238309">
          <w:marLeft w:val="0"/>
          <w:marRight w:val="0"/>
          <w:marTop w:val="0"/>
          <w:marBottom w:val="0"/>
          <w:divBdr>
            <w:top w:val="none" w:sz="0" w:space="0" w:color="auto"/>
            <w:left w:val="none" w:sz="0" w:space="0" w:color="auto"/>
            <w:bottom w:val="none" w:sz="0" w:space="0" w:color="auto"/>
            <w:right w:val="none" w:sz="0" w:space="0" w:color="auto"/>
          </w:divBdr>
        </w:div>
      </w:divsChild>
    </w:div>
    <w:div w:id="1342901524">
      <w:bodyDiv w:val="1"/>
      <w:marLeft w:val="0"/>
      <w:marRight w:val="0"/>
      <w:marTop w:val="0"/>
      <w:marBottom w:val="0"/>
      <w:divBdr>
        <w:top w:val="none" w:sz="0" w:space="0" w:color="auto"/>
        <w:left w:val="none" w:sz="0" w:space="0" w:color="auto"/>
        <w:bottom w:val="none" w:sz="0" w:space="0" w:color="auto"/>
        <w:right w:val="none" w:sz="0" w:space="0" w:color="auto"/>
      </w:divBdr>
    </w:div>
    <w:div w:id="1345470809">
      <w:bodyDiv w:val="1"/>
      <w:marLeft w:val="0"/>
      <w:marRight w:val="0"/>
      <w:marTop w:val="0"/>
      <w:marBottom w:val="0"/>
      <w:divBdr>
        <w:top w:val="none" w:sz="0" w:space="0" w:color="auto"/>
        <w:left w:val="none" w:sz="0" w:space="0" w:color="auto"/>
        <w:bottom w:val="none" w:sz="0" w:space="0" w:color="auto"/>
        <w:right w:val="none" w:sz="0" w:space="0" w:color="auto"/>
      </w:divBdr>
    </w:div>
    <w:div w:id="1349985925">
      <w:bodyDiv w:val="1"/>
      <w:marLeft w:val="0"/>
      <w:marRight w:val="0"/>
      <w:marTop w:val="0"/>
      <w:marBottom w:val="0"/>
      <w:divBdr>
        <w:top w:val="none" w:sz="0" w:space="0" w:color="auto"/>
        <w:left w:val="none" w:sz="0" w:space="0" w:color="auto"/>
        <w:bottom w:val="none" w:sz="0" w:space="0" w:color="auto"/>
        <w:right w:val="none" w:sz="0" w:space="0" w:color="auto"/>
      </w:divBdr>
    </w:div>
    <w:div w:id="1351494527">
      <w:bodyDiv w:val="1"/>
      <w:marLeft w:val="0"/>
      <w:marRight w:val="0"/>
      <w:marTop w:val="0"/>
      <w:marBottom w:val="0"/>
      <w:divBdr>
        <w:top w:val="none" w:sz="0" w:space="0" w:color="auto"/>
        <w:left w:val="none" w:sz="0" w:space="0" w:color="auto"/>
        <w:bottom w:val="none" w:sz="0" w:space="0" w:color="auto"/>
        <w:right w:val="none" w:sz="0" w:space="0" w:color="auto"/>
      </w:divBdr>
    </w:div>
    <w:div w:id="1365399788">
      <w:bodyDiv w:val="1"/>
      <w:marLeft w:val="0"/>
      <w:marRight w:val="0"/>
      <w:marTop w:val="0"/>
      <w:marBottom w:val="0"/>
      <w:divBdr>
        <w:top w:val="none" w:sz="0" w:space="0" w:color="auto"/>
        <w:left w:val="none" w:sz="0" w:space="0" w:color="auto"/>
        <w:bottom w:val="none" w:sz="0" w:space="0" w:color="auto"/>
        <w:right w:val="none" w:sz="0" w:space="0" w:color="auto"/>
      </w:divBdr>
    </w:div>
    <w:div w:id="1378628130">
      <w:bodyDiv w:val="1"/>
      <w:marLeft w:val="0"/>
      <w:marRight w:val="0"/>
      <w:marTop w:val="0"/>
      <w:marBottom w:val="0"/>
      <w:divBdr>
        <w:top w:val="none" w:sz="0" w:space="0" w:color="auto"/>
        <w:left w:val="none" w:sz="0" w:space="0" w:color="auto"/>
        <w:bottom w:val="none" w:sz="0" w:space="0" w:color="auto"/>
        <w:right w:val="none" w:sz="0" w:space="0" w:color="auto"/>
      </w:divBdr>
    </w:div>
    <w:div w:id="1379016954">
      <w:bodyDiv w:val="1"/>
      <w:marLeft w:val="0"/>
      <w:marRight w:val="0"/>
      <w:marTop w:val="0"/>
      <w:marBottom w:val="0"/>
      <w:divBdr>
        <w:top w:val="none" w:sz="0" w:space="0" w:color="auto"/>
        <w:left w:val="none" w:sz="0" w:space="0" w:color="auto"/>
        <w:bottom w:val="none" w:sz="0" w:space="0" w:color="auto"/>
        <w:right w:val="none" w:sz="0" w:space="0" w:color="auto"/>
      </w:divBdr>
    </w:div>
    <w:div w:id="1384326285">
      <w:bodyDiv w:val="1"/>
      <w:marLeft w:val="0"/>
      <w:marRight w:val="0"/>
      <w:marTop w:val="0"/>
      <w:marBottom w:val="0"/>
      <w:divBdr>
        <w:top w:val="none" w:sz="0" w:space="0" w:color="auto"/>
        <w:left w:val="none" w:sz="0" w:space="0" w:color="auto"/>
        <w:bottom w:val="none" w:sz="0" w:space="0" w:color="auto"/>
        <w:right w:val="none" w:sz="0" w:space="0" w:color="auto"/>
      </w:divBdr>
    </w:div>
    <w:div w:id="1396977302">
      <w:bodyDiv w:val="1"/>
      <w:marLeft w:val="0"/>
      <w:marRight w:val="0"/>
      <w:marTop w:val="0"/>
      <w:marBottom w:val="0"/>
      <w:divBdr>
        <w:top w:val="none" w:sz="0" w:space="0" w:color="auto"/>
        <w:left w:val="none" w:sz="0" w:space="0" w:color="auto"/>
        <w:bottom w:val="none" w:sz="0" w:space="0" w:color="auto"/>
        <w:right w:val="none" w:sz="0" w:space="0" w:color="auto"/>
      </w:divBdr>
    </w:div>
    <w:div w:id="1401446550">
      <w:bodyDiv w:val="1"/>
      <w:marLeft w:val="0"/>
      <w:marRight w:val="0"/>
      <w:marTop w:val="0"/>
      <w:marBottom w:val="0"/>
      <w:divBdr>
        <w:top w:val="none" w:sz="0" w:space="0" w:color="auto"/>
        <w:left w:val="none" w:sz="0" w:space="0" w:color="auto"/>
        <w:bottom w:val="none" w:sz="0" w:space="0" w:color="auto"/>
        <w:right w:val="none" w:sz="0" w:space="0" w:color="auto"/>
      </w:divBdr>
    </w:div>
    <w:div w:id="1407192562">
      <w:bodyDiv w:val="1"/>
      <w:marLeft w:val="0"/>
      <w:marRight w:val="0"/>
      <w:marTop w:val="0"/>
      <w:marBottom w:val="0"/>
      <w:divBdr>
        <w:top w:val="none" w:sz="0" w:space="0" w:color="auto"/>
        <w:left w:val="none" w:sz="0" w:space="0" w:color="auto"/>
        <w:bottom w:val="none" w:sz="0" w:space="0" w:color="auto"/>
        <w:right w:val="none" w:sz="0" w:space="0" w:color="auto"/>
      </w:divBdr>
    </w:div>
    <w:div w:id="1407728919">
      <w:bodyDiv w:val="1"/>
      <w:marLeft w:val="0"/>
      <w:marRight w:val="0"/>
      <w:marTop w:val="0"/>
      <w:marBottom w:val="0"/>
      <w:divBdr>
        <w:top w:val="none" w:sz="0" w:space="0" w:color="auto"/>
        <w:left w:val="none" w:sz="0" w:space="0" w:color="auto"/>
        <w:bottom w:val="none" w:sz="0" w:space="0" w:color="auto"/>
        <w:right w:val="none" w:sz="0" w:space="0" w:color="auto"/>
      </w:divBdr>
    </w:div>
    <w:div w:id="1410730858">
      <w:bodyDiv w:val="1"/>
      <w:marLeft w:val="0"/>
      <w:marRight w:val="0"/>
      <w:marTop w:val="0"/>
      <w:marBottom w:val="0"/>
      <w:divBdr>
        <w:top w:val="none" w:sz="0" w:space="0" w:color="auto"/>
        <w:left w:val="none" w:sz="0" w:space="0" w:color="auto"/>
        <w:bottom w:val="none" w:sz="0" w:space="0" w:color="auto"/>
        <w:right w:val="none" w:sz="0" w:space="0" w:color="auto"/>
      </w:divBdr>
    </w:div>
    <w:div w:id="1439377251">
      <w:bodyDiv w:val="1"/>
      <w:marLeft w:val="0"/>
      <w:marRight w:val="0"/>
      <w:marTop w:val="0"/>
      <w:marBottom w:val="0"/>
      <w:divBdr>
        <w:top w:val="none" w:sz="0" w:space="0" w:color="auto"/>
        <w:left w:val="none" w:sz="0" w:space="0" w:color="auto"/>
        <w:bottom w:val="none" w:sz="0" w:space="0" w:color="auto"/>
        <w:right w:val="none" w:sz="0" w:space="0" w:color="auto"/>
      </w:divBdr>
    </w:div>
    <w:div w:id="1455906716">
      <w:bodyDiv w:val="1"/>
      <w:marLeft w:val="0"/>
      <w:marRight w:val="0"/>
      <w:marTop w:val="0"/>
      <w:marBottom w:val="0"/>
      <w:divBdr>
        <w:top w:val="none" w:sz="0" w:space="0" w:color="auto"/>
        <w:left w:val="none" w:sz="0" w:space="0" w:color="auto"/>
        <w:bottom w:val="none" w:sz="0" w:space="0" w:color="auto"/>
        <w:right w:val="none" w:sz="0" w:space="0" w:color="auto"/>
      </w:divBdr>
      <w:divsChild>
        <w:div w:id="770010986">
          <w:marLeft w:val="0"/>
          <w:marRight w:val="0"/>
          <w:marTop w:val="0"/>
          <w:marBottom w:val="0"/>
          <w:divBdr>
            <w:top w:val="none" w:sz="0" w:space="0" w:color="auto"/>
            <w:left w:val="none" w:sz="0" w:space="0" w:color="auto"/>
            <w:bottom w:val="none" w:sz="0" w:space="0" w:color="auto"/>
            <w:right w:val="none" w:sz="0" w:space="0" w:color="auto"/>
          </w:divBdr>
          <w:divsChild>
            <w:div w:id="1071268783">
              <w:marLeft w:val="0"/>
              <w:marRight w:val="0"/>
              <w:marTop w:val="0"/>
              <w:marBottom w:val="0"/>
              <w:divBdr>
                <w:top w:val="none" w:sz="0" w:space="0" w:color="auto"/>
                <w:left w:val="none" w:sz="0" w:space="0" w:color="auto"/>
                <w:bottom w:val="none" w:sz="0" w:space="0" w:color="auto"/>
                <w:right w:val="none" w:sz="0" w:space="0" w:color="auto"/>
              </w:divBdr>
            </w:div>
          </w:divsChild>
        </w:div>
        <w:div w:id="1907839330">
          <w:marLeft w:val="0"/>
          <w:marRight w:val="0"/>
          <w:marTop w:val="0"/>
          <w:marBottom w:val="0"/>
          <w:divBdr>
            <w:top w:val="none" w:sz="0" w:space="0" w:color="auto"/>
            <w:left w:val="none" w:sz="0" w:space="0" w:color="auto"/>
            <w:bottom w:val="none" w:sz="0" w:space="0" w:color="auto"/>
            <w:right w:val="none" w:sz="0" w:space="0" w:color="auto"/>
          </w:divBdr>
          <w:divsChild>
            <w:div w:id="159089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049486">
      <w:bodyDiv w:val="1"/>
      <w:marLeft w:val="0"/>
      <w:marRight w:val="0"/>
      <w:marTop w:val="0"/>
      <w:marBottom w:val="0"/>
      <w:divBdr>
        <w:top w:val="none" w:sz="0" w:space="0" w:color="auto"/>
        <w:left w:val="none" w:sz="0" w:space="0" w:color="auto"/>
        <w:bottom w:val="none" w:sz="0" w:space="0" w:color="auto"/>
        <w:right w:val="none" w:sz="0" w:space="0" w:color="auto"/>
      </w:divBdr>
    </w:div>
    <w:div w:id="1477330652">
      <w:bodyDiv w:val="1"/>
      <w:marLeft w:val="0"/>
      <w:marRight w:val="0"/>
      <w:marTop w:val="0"/>
      <w:marBottom w:val="0"/>
      <w:divBdr>
        <w:top w:val="none" w:sz="0" w:space="0" w:color="auto"/>
        <w:left w:val="none" w:sz="0" w:space="0" w:color="auto"/>
        <w:bottom w:val="none" w:sz="0" w:space="0" w:color="auto"/>
        <w:right w:val="none" w:sz="0" w:space="0" w:color="auto"/>
      </w:divBdr>
    </w:div>
    <w:div w:id="1482845643">
      <w:bodyDiv w:val="1"/>
      <w:marLeft w:val="0"/>
      <w:marRight w:val="0"/>
      <w:marTop w:val="0"/>
      <w:marBottom w:val="0"/>
      <w:divBdr>
        <w:top w:val="none" w:sz="0" w:space="0" w:color="auto"/>
        <w:left w:val="none" w:sz="0" w:space="0" w:color="auto"/>
        <w:bottom w:val="none" w:sz="0" w:space="0" w:color="auto"/>
        <w:right w:val="none" w:sz="0" w:space="0" w:color="auto"/>
      </w:divBdr>
    </w:div>
    <w:div w:id="1493716201">
      <w:bodyDiv w:val="1"/>
      <w:marLeft w:val="0"/>
      <w:marRight w:val="0"/>
      <w:marTop w:val="0"/>
      <w:marBottom w:val="0"/>
      <w:divBdr>
        <w:top w:val="none" w:sz="0" w:space="0" w:color="auto"/>
        <w:left w:val="none" w:sz="0" w:space="0" w:color="auto"/>
        <w:bottom w:val="none" w:sz="0" w:space="0" w:color="auto"/>
        <w:right w:val="none" w:sz="0" w:space="0" w:color="auto"/>
      </w:divBdr>
    </w:div>
    <w:div w:id="1494644464">
      <w:bodyDiv w:val="1"/>
      <w:marLeft w:val="0"/>
      <w:marRight w:val="0"/>
      <w:marTop w:val="0"/>
      <w:marBottom w:val="0"/>
      <w:divBdr>
        <w:top w:val="none" w:sz="0" w:space="0" w:color="auto"/>
        <w:left w:val="none" w:sz="0" w:space="0" w:color="auto"/>
        <w:bottom w:val="none" w:sz="0" w:space="0" w:color="auto"/>
        <w:right w:val="none" w:sz="0" w:space="0" w:color="auto"/>
      </w:divBdr>
    </w:div>
    <w:div w:id="1502238819">
      <w:bodyDiv w:val="1"/>
      <w:marLeft w:val="0"/>
      <w:marRight w:val="0"/>
      <w:marTop w:val="0"/>
      <w:marBottom w:val="0"/>
      <w:divBdr>
        <w:top w:val="none" w:sz="0" w:space="0" w:color="auto"/>
        <w:left w:val="none" w:sz="0" w:space="0" w:color="auto"/>
        <w:bottom w:val="none" w:sz="0" w:space="0" w:color="auto"/>
        <w:right w:val="none" w:sz="0" w:space="0" w:color="auto"/>
      </w:divBdr>
    </w:div>
    <w:div w:id="1503231187">
      <w:bodyDiv w:val="1"/>
      <w:marLeft w:val="0"/>
      <w:marRight w:val="0"/>
      <w:marTop w:val="0"/>
      <w:marBottom w:val="0"/>
      <w:divBdr>
        <w:top w:val="none" w:sz="0" w:space="0" w:color="auto"/>
        <w:left w:val="none" w:sz="0" w:space="0" w:color="auto"/>
        <w:bottom w:val="none" w:sz="0" w:space="0" w:color="auto"/>
        <w:right w:val="none" w:sz="0" w:space="0" w:color="auto"/>
      </w:divBdr>
    </w:div>
    <w:div w:id="1514027584">
      <w:bodyDiv w:val="1"/>
      <w:marLeft w:val="0"/>
      <w:marRight w:val="0"/>
      <w:marTop w:val="0"/>
      <w:marBottom w:val="0"/>
      <w:divBdr>
        <w:top w:val="none" w:sz="0" w:space="0" w:color="auto"/>
        <w:left w:val="none" w:sz="0" w:space="0" w:color="auto"/>
        <w:bottom w:val="none" w:sz="0" w:space="0" w:color="auto"/>
        <w:right w:val="none" w:sz="0" w:space="0" w:color="auto"/>
      </w:divBdr>
    </w:div>
    <w:div w:id="1520463700">
      <w:bodyDiv w:val="1"/>
      <w:marLeft w:val="0"/>
      <w:marRight w:val="0"/>
      <w:marTop w:val="0"/>
      <w:marBottom w:val="0"/>
      <w:divBdr>
        <w:top w:val="none" w:sz="0" w:space="0" w:color="auto"/>
        <w:left w:val="none" w:sz="0" w:space="0" w:color="auto"/>
        <w:bottom w:val="none" w:sz="0" w:space="0" w:color="auto"/>
        <w:right w:val="none" w:sz="0" w:space="0" w:color="auto"/>
      </w:divBdr>
    </w:div>
    <w:div w:id="1542861477">
      <w:bodyDiv w:val="1"/>
      <w:marLeft w:val="0"/>
      <w:marRight w:val="0"/>
      <w:marTop w:val="0"/>
      <w:marBottom w:val="0"/>
      <w:divBdr>
        <w:top w:val="none" w:sz="0" w:space="0" w:color="auto"/>
        <w:left w:val="none" w:sz="0" w:space="0" w:color="auto"/>
        <w:bottom w:val="none" w:sz="0" w:space="0" w:color="auto"/>
        <w:right w:val="none" w:sz="0" w:space="0" w:color="auto"/>
      </w:divBdr>
    </w:div>
    <w:div w:id="1544175347">
      <w:bodyDiv w:val="1"/>
      <w:marLeft w:val="0"/>
      <w:marRight w:val="0"/>
      <w:marTop w:val="0"/>
      <w:marBottom w:val="0"/>
      <w:divBdr>
        <w:top w:val="none" w:sz="0" w:space="0" w:color="auto"/>
        <w:left w:val="none" w:sz="0" w:space="0" w:color="auto"/>
        <w:bottom w:val="none" w:sz="0" w:space="0" w:color="auto"/>
        <w:right w:val="none" w:sz="0" w:space="0" w:color="auto"/>
      </w:divBdr>
    </w:div>
    <w:div w:id="1558322566">
      <w:bodyDiv w:val="1"/>
      <w:marLeft w:val="0"/>
      <w:marRight w:val="0"/>
      <w:marTop w:val="0"/>
      <w:marBottom w:val="0"/>
      <w:divBdr>
        <w:top w:val="none" w:sz="0" w:space="0" w:color="auto"/>
        <w:left w:val="none" w:sz="0" w:space="0" w:color="auto"/>
        <w:bottom w:val="none" w:sz="0" w:space="0" w:color="auto"/>
        <w:right w:val="none" w:sz="0" w:space="0" w:color="auto"/>
      </w:divBdr>
    </w:div>
    <w:div w:id="1559778352">
      <w:bodyDiv w:val="1"/>
      <w:marLeft w:val="0"/>
      <w:marRight w:val="0"/>
      <w:marTop w:val="0"/>
      <w:marBottom w:val="0"/>
      <w:divBdr>
        <w:top w:val="none" w:sz="0" w:space="0" w:color="auto"/>
        <w:left w:val="none" w:sz="0" w:space="0" w:color="auto"/>
        <w:bottom w:val="none" w:sz="0" w:space="0" w:color="auto"/>
        <w:right w:val="none" w:sz="0" w:space="0" w:color="auto"/>
      </w:divBdr>
    </w:div>
    <w:div w:id="1570771696">
      <w:bodyDiv w:val="1"/>
      <w:marLeft w:val="0"/>
      <w:marRight w:val="0"/>
      <w:marTop w:val="0"/>
      <w:marBottom w:val="0"/>
      <w:divBdr>
        <w:top w:val="none" w:sz="0" w:space="0" w:color="auto"/>
        <w:left w:val="none" w:sz="0" w:space="0" w:color="auto"/>
        <w:bottom w:val="none" w:sz="0" w:space="0" w:color="auto"/>
        <w:right w:val="none" w:sz="0" w:space="0" w:color="auto"/>
      </w:divBdr>
    </w:div>
    <w:div w:id="1574585184">
      <w:bodyDiv w:val="1"/>
      <w:marLeft w:val="0"/>
      <w:marRight w:val="0"/>
      <w:marTop w:val="0"/>
      <w:marBottom w:val="0"/>
      <w:divBdr>
        <w:top w:val="none" w:sz="0" w:space="0" w:color="auto"/>
        <w:left w:val="none" w:sz="0" w:space="0" w:color="auto"/>
        <w:bottom w:val="none" w:sz="0" w:space="0" w:color="auto"/>
        <w:right w:val="none" w:sz="0" w:space="0" w:color="auto"/>
      </w:divBdr>
    </w:div>
    <w:div w:id="1614970260">
      <w:bodyDiv w:val="1"/>
      <w:marLeft w:val="0"/>
      <w:marRight w:val="0"/>
      <w:marTop w:val="0"/>
      <w:marBottom w:val="0"/>
      <w:divBdr>
        <w:top w:val="none" w:sz="0" w:space="0" w:color="auto"/>
        <w:left w:val="none" w:sz="0" w:space="0" w:color="auto"/>
        <w:bottom w:val="none" w:sz="0" w:space="0" w:color="auto"/>
        <w:right w:val="none" w:sz="0" w:space="0" w:color="auto"/>
      </w:divBdr>
    </w:div>
    <w:div w:id="1623221449">
      <w:bodyDiv w:val="1"/>
      <w:marLeft w:val="0"/>
      <w:marRight w:val="0"/>
      <w:marTop w:val="0"/>
      <w:marBottom w:val="0"/>
      <w:divBdr>
        <w:top w:val="none" w:sz="0" w:space="0" w:color="auto"/>
        <w:left w:val="none" w:sz="0" w:space="0" w:color="auto"/>
        <w:bottom w:val="none" w:sz="0" w:space="0" w:color="auto"/>
        <w:right w:val="none" w:sz="0" w:space="0" w:color="auto"/>
      </w:divBdr>
    </w:div>
    <w:div w:id="1632399097">
      <w:bodyDiv w:val="1"/>
      <w:marLeft w:val="0"/>
      <w:marRight w:val="0"/>
      <w:marTop w:val="0"/>
      <w:marBottom w:val="0"/>
      <w:divBdr>
        <w:top w:val="none" w:sz="0" w:space="0" w:color="auto"/>
        <w:left w:val="none" w:sz="0" w:space="0" w:color="auto"/>
        <w:bottom w:val="none" w:sz="0" w:space="0" w:color="auto"/>
        <w:right w:val="none" w:sz="0" w:space="0" w:color="auto"/>
      </w:divBdr>
    </w:div>
    <w:div w:id="1638024574">
      <w:bodyDiv w:val="1"/>
      <w:marLeft w:val="0"/>
      <w:marRight w:val="0"/>
      <w:marTop w:val="0"/>
      <w:marBottom w:val="0"/>
      <w:divBdr>
        <w:top w:val="none" w:sz="0" w:space="0" w:color="auto"/>
        <w:left w:val="none" w:sz="0" w:space="0" w:color="auto"/>
        <w:bottom w:val="none" w:sz="0" w:space="0" w:color="auto"/>
        <w:right w:val="none" w:sz="0" w:space="0" w:color="auto"/>
      </w:divBdr>
    </w:div>
    <w:div w:id="1644503899">
      <w:bodyDiv w:val="1"/>
      <w:marLeft w:val="0"/>
      <w:marRight w:val="0"/>
      <w:marTop w:val="0"/>
      <w:marBottom w:val="0"/>
      <w:divBdr>
        <w:top w:val="none" w:sz="0" w:space="0" w:color="auto"/>
        <w:left w:val="none" w:sz="0" w:space="0" w:color="auto"/>
        <w:bottom w:val="none" w:sz="0" w:space="0" w:color="auto"/>
        <w:right w:val="none" w:sz="0" w:space="0" w:color="auto"/>
      </w:divBdr>
    </w:div>
    <w:div w:id="1646737938">
      <w:bodyDiv w:val="1"/>
      <w:marLeft w:val="0"/>
      <w:marRight w:val="0"/>
      <w:marTop w:val="0"/>
      <w:marBottom w:val="0"/>
      <w:divBdr>
        <w:top w:val="none" w:sz="0" w:space="0" w:color="auto"/>
        <w:left w:val="none" w:sz="0" w:space="0" w:color="auto"/>
        <w:bottom w:val="none" w:sz="0" w:space="0" w:color="auto"/>
        <w:right w:val="none" w:sz="0" w:space="0" w:color="auto"/>
      </w:divBdr>
    </w:div>
    <w:div w:id="1656059565">
      <w:bodyDiv w:val="1"/>
      <w:marLeft w:val="0"/>
      <w:marRight w:val="0"/>
      <w:marTop w:val="0"/>
      <w:marBottom w:val="0"/>
      <w:divBdr>
        <w:top w:val="none" w:sz="0" w:space="0" w:color="auto"/>
        <w:left w:val="none" w:sz="0" w:space="0" w:color="auto"/>
        <w:bottom w:val="none" w:sz="0" w:space="0" w:color="auto"/>
        <w:right w:val="none" w:sz="0" w:space="0" w:color="auto"/>
      </w:divBdr>
    </w:div>
    <w:div w:id="1661737002">
      <w:bodyDiv w:val="1"/>
      <w:marLeft w:val="0"/>
      <w:marRight w:val="0"/>
      <w:marTop w:val="0"/>
      <w:marBottom w:val="0"/>
      <w:divBdr>
        <w:top w:val="none" w:sz="0" w:space="0" w:color="auto"/>
        <w:left w:val="none" w:sz="0" w:space="0" w:color="auto"/>
        <w:bottom w:val="none" w:sz="0" w:space="0" w:color="auto"/>
        <w:right w:val="none" w:sz="0" w:space="0" w:color="auto"/>
      </w:divBdr>
    </w:div>
    <w:div w:id="1662149978">
      <w:bodyDiv w:val="1"/>
      <w:marLeft w:val="0"/>
      <w:marRight w:val="0"/>
      <w:marTop w:val="0"/>
      <w:marBottom w:val="0"/>
      <w:divBdr>
        <w:top w:val="none" w:sz="0" w:space="0" w:color="auto"/>
        <w:left w:val="none" w:sz="0" w:space="0" w:color="auto"/>
        <w:bottom w:val="none" w:sz="0" w:space="0" w:color="auto"/>
        <w:right w:val="none" w:sz="0" w:space="0" w:color="auto"/>
      </w:divBdr>
    </w:div>
    <w:div w:id="1674143056">
      <w:bodyDiv w:val="1"/>
      <w:marLeft w:val="0"/>
      <w:marRight w:val="0"/>
      <w:marTop w:val="0"/>
      <w:marBottom w:val="0"/>
      <w:divBdr>
        <w:top w:val="none" w:sz="0" w:space="0" w:color="auto"/>
        <w:left w:val="none" w:sz="0" w:space="0" w:color="auto"/>
        <w:bottom w:val="none" w:sz="0" w:space="0" w:color="auto"/>
        <w:right w:val="none" w:sz="0" w:space="0" w:color="auto"/>
      </w:divBdr>
    </w:div>
    <w:div w:id="1689674680">
      <w:bodyDiv w:val="1"/>
      <w:marLeft w:val="0"/>
      <w:marRight w:val="0"/>
      <w:marTop w:val="0"/>
      <w:marBottom w:val="0"/>
      <w:divBdr>
        <w:top w:val="none" w:sz="0" w:space="0" w:color="auto"/>
        <w:left w:val="none" w:sz="0" w:space="0" w:color="auto"/>
        <w:bottom w:val="none" w:sz="0" w:space="0" w:color="auto"/>
        <w:right w:val="none" w:sz="0" w:space="0" w:color="auto"/>
      </w:divBdr>
    </w:div>
    <w:div w:id="1712537689">
      <w:bodyDiv w:val="1"/>
      <w:marLeft w:val="0"/>
      <w:marRight w:val="0"/>
      <w:marTop w:val="0"/>
      <w:marBottom w:val="0"/>
      <w:divBdr>
        <w:top w:val="none" w:sz="0" w:space="0" w:color="auto"/>
        <w:left w:val="none" w:sz="0" w:space="0" w:color="auto"/>
        <w:bottom w:val="none" w:sz="0" w:space="0" w:color="auto"/>
        <w:right w:val="none" w:sz="0" w:space="0" w:color="auto"/>
      </w:divBdr>
    </w:div>
    <w:div w:id="1716465261">
      <w:bodyDiv w:val="1"/>
      <w:marLeft w:val="0"/>
      <w:marRight w:val="0"/>
      <w:marTop w:val="0"/>
      <w:marBottom w:val="0"/>
      <w:divBdr>
        <w:top w:val="none" w:sz="0" w:space="0" w:color="auto"/>
        <w:left w:val="none" w:sz="0" w:space="0" w:color="auto"/>
        <w:bottom w:val="none" w:sz="0" w:space="0" w:color="auto"/>
        <w:right w:val="none" w:sz="0" w:space="0" w:color="auto"/>
      </w:divBdr>
    </w:div>
    <w:div w:id="1716543672">
      <w:bodyDiv w:val="1"/>
      <w:marLeft w:val="0"/>
      <w:marRight w:val="0"/>
      <w:marTop w:val="0"/>
      <w:marBottom w:val="0"/>
      <w:divBdr>
        <w:top w:val="none" w:sz="0" w:space="0" w:color="auto"/>
        <w:left w:val="none" w:sz="0" w:space="0" w:color="auto"/>
        <w:bottom w:val="none" w:sz="0" w:space="0" w:color="auto"/>
        <w:right w:val="none" w:sz="0" w:space="0" w:color="auto"/>
      </w:divBdr>
    </w:div>
    <w:div w:id="1717968643">
      <w:bodyDiv w:val="1"/>
      <w:marLeft w:val="0"/>
      <w:marRight w:val="0"/>
      <w:marTop w:val="0"/>
      <w:marBottom w:val="0"/>
      <w:divBdr>
        <w:top w:val="none" w:sz="0" w:space="0" w:color="auto"/>
        <w:left w:val="none" w:sz="0" w:space="0" w:color="auto"/>
        <w:bottom w:val="none" w:sz="0" w:space="0" w:color="auto"/>
        <w:right w:val="none" w:sz="0" w:space="0" w:color="auto"/>
      </w:divBdr>
    </w:div>
    <w:div w:id="1723095910">
      <w:bodyDiv w:val="1"/>
      <w:marLeft w:val="0"/>
      <w:marRight w:val="0"/>
      <w:marTop w:val="0"/>
      <w:marBottom w:val="0"/>
      <w:divBdr>
        <w:top w:val="none" w:sz="0" w:space="0" w:color="auto"/>
        <w:left w:val="none" w:sz="0" w:space="0" w:color="auto"/>
        <w:bottom w:val="none" w:sz="0" w:space="0" w:color="auto"/>
        <w:right w:val="none" w:sz="0" w:space="0" w:color="auto"/>
      </w:divBdr>
    </w:div>
    <w:div w:id="1735081320">
      <w:bodyDiv w:val="1"/>
      <w:marLeft w:val="0"/>
      <w:marRight w:val="0"/>
      <w:marTop w:val="0"/>
      <w:marBottom w:val="0"/>
      <w:divBdr>
        <w:top w:val="none" w:sz="0" w:space="0" w:color="auto"/>
        <w:left w:val="none" w:sz="0" w:space="0" w:color="auto"/>
        <w:bottom w:val="none" w:sz="0" w:space="0" w:color="auto"/>
        <w:right w:val="none" w:sz="0" w:space="0" w:color="auto"/>
      </w:divBdr>
    </w:div>
    <w:div w:id="1736926065">
      <w:bodyDiv w:val="1"/>
      <w:marLeft w:val="0"/>
      <w:marRight w:val="0"/>
      <w:marTop w:val="0"/>
      <w:marBottom w:val="0"/>
      <w:divBdr>
        <w:top w:val="none" w:sz="0" w:space="0" w:color="auto"/>
        <w:left w:val="none" w:sz="0" w:space="0" w:color="auto"/>
        <w:bottom w:val="none" w:sz="0" w:space="0" w:color="auto"/>
        <w:right w:val="none" w:sz="0" w:space="0" w:color="auto"/>
      </w:divBdr>
    </w:div>
    <w:div w:id="1738433513">
      <w:bodyDiv w:val="1"/>
      <w:marLeft w:val="0"/>
      <w:marRight w:val="0"/>
      <w:marTop w:val="0"/>
      <w:marBottom w:val="0"/>
      <w:divBdr>
        <w:top w:val="none" w:sz="0" w:space="0" w:color="auto"/>
        <w:left w:val="none" w:sz="0" w:space="0" w:color="auto"/>
        <w:bottom w:val="none" w:sz="0" w:space="0" w:color="auto"/>
        <w:right w:val="none" w:sz="0" w:space="0" w:color="auto"/>
      </w:divBdr>
    </w:div>
    <w:div w:id="1739012772">
      <w:bodyDiv w:val="1"/>
      <w:marLeft w:val="0"/>
      <w:marRight w:val="0"/>
      <w:marTop w:val="0"/>
      <w:marBottom w:val="0"/>
      <w:divBdr>
        <w:top w:val="none" w:sz="0" w:space="0" w:color="auto"/>
        <w:left w:val="none" w:sz="0" w:space="0" w:color="auto"/>
        <w:bottom w:val="none" w:sz="0" w:space="0" w:color="auto"/>
        <w:right w:val="none" w:sz="0" w:space="0" w:color="auto"/>
      </w:divBdr>
    </w:div>
    <w:div w:id="1740012839">
      <w:bodyDiv w:val="1"/>
      <w:marLeft w:val="0"/>
      <w:marRight w:val="0"/>
      <w:marTop w:val="0"/>
      <w:marBottom w:val="0"/>
      <w:divBdr>
        <w:top w:val="none" w:sz="0" w:space="0" w:color="auto"/>
        <w:left w:val="none" w:sz="0" w:space="0" w:color="auto"/>
        <w:bottom w:val="none" w:sz="0" w:space="0" w:color="auto"/>
        <w:right w:val="none" w:sz="0" w:space="0" w:color="auto"/>
      </w:divBdr>
    </w:div>
    <w:div w:id="1740323315">
      <w:marLeft w:val="0"/>
      <w:marRight w:val="0"/>
      <w:marTop w:val="0"/>
      <w:marBottom w:val="0"/>
      <w:divBdr>
        <w:top w:val="none" w:sz="0" w:space="0" w:color="auto"/>
        <w:left w:val="none" w:sz="0" w:space="0" w:color="auto"/>
        <w:bottom w:val="none" w:sz="0" w:space="0" w:color="auto"/>
        <w:right w:val="none" w:sz="0" w:space="0" w:color="auto"/>
      </w:divBdr>
      <w:divsChild>
        <w:div w:id="563954225">
          <w:marLeft w:val="0"/>
          <w:marRight w:val="0"/>
          <w:marTop w:val="0"/>
          <w:marBottom w:val="0"/>
          <w:divBdr>
            <w:top w:val="none" w:sz="0" w:space="0" w:color="auto"/>
            <w:left w:val="none" w:sz="0" w:space="0" w:color="auto"/>
            <w:bottom w:val="none" w:sz="0" w:space="0" w:color="auto"/>
            <w:right w:val="none" w:sz="0" w:space="0" w:color="auto"/>
          </w:divBdr>
        </w:div>
      </w:divsChild>
    </w:div>
    <w:div w:id="1741293476">
      <w:bodyDiv w:val="1"/>
      <w:marLeft w:val="0"/>
      <w:marRight w:val="0"/>
      <w:marTop w:val="0"/>
      <w:marBottom w:val="0"/>
      <w:divBdr>
        <w:top w:val="none" w:sz="0" w:space="0" w:color="auto"/>
        <w:left w:val="none" w:sz="0" w:space="0" w:color="auto"/>
        <w:bottom w:val="none" w:sz="0" w:space="0" w:color="auto"/>
        <w:right w:val="none" w:sz="0" w:space="0" w:color="auto"/>
      </w:divBdr>
    </w:div>
    <w:div w:id="1749184125">
      <w:bodyDiv w:val="1"/>
      <w:marLeft w:val="0"/>
      <w:marRight w:val="0"/>
      <w:marTop w:val="0"/>
      <w:marBottom w:val="0"/>
      <w:divBdr>
        <w:top w:val="none" w:sz="0" w:space="0" w:color="auto"/>
        <w:left w:val="none" w:sz="0" w:space="0" w:color="auto"/>
        <w:bottom w:val="none" w:sz="0" w:space="0" w:color="auto"/>
        <w:right w:val="none" w:sz="0" w:space="0" w:color="auto"/>
      </w:divBdr>
    </w:div>
    <w:div w:id="1764691239">
      <w:bodyDiv w:val="1"/>
      <w:marLeft w:val="0"/>
      <w:marRight w:val="0"/>
      <w:marTop w:val="0"/>
      <w:marBottom w:val="0"/>
      <w:divBdr>
        <w:top w:val="none" w:sz="0" w:space="0" w:color="auto"/>
        <w:left w:val="none" w:sz="0" w:space="0" w:color="auto"/>
        <w:bottom w:val="none" w:sz="0" w:space="0" w:color="auto"/>
        <w:right w:val="none" w:sz="0" w:space="0" w:color="auto"/>
      </w:divBdr>
    </w:div>
    <w:div w:id="1766462590">
      <w:bodyDiv w:val="1"/>
      <w:marLeft w:val="0"/>
      <w:marRight w:val="0"/>
      <w:marTop w:val="0"/>
      <w:marBottom w:val="0"/>
      <w:divBdr>
        <w:top w:val="none" w:sz="0" w:space="0" w:color="auto"/>
        <w:left w:val="none" w:sz="0" w:space="0" w:color="auto"/>
        <w:bottom w:val="none" w:sz="0" w:space="0" w:color="auto"/>
        <w:right w:val="none" w:sz="0" w:space="0" w:color="auto"/>
      </w:divBdr>
    </w:div>
    <w:div w:id="1768378915">
      <w:bodyDiv w:val="1"/>
      <w:marLeft w:val="0"/>
      <w:marRight w:val="0"/>
      <w:marTop w:val="0"/>
      <w:marBottom w:val="0"/>
      <w:divBdr>
        <w:top w:val="none" w:sz="0" w:space="0" w:color="auto"/>
        <w:left w:val="none" w:sz="0" w:space="0" w:color="auto"/>
        <w:bottom w:val="none" w:sz="0" w:space="0" w:color="auto"/>
        <w:right w:val="none" w:sz="0" w:space="0" w:color="auto"/>
      </w:divBdr>
      <w:divsChild>
        <w:div w:id="2087149234">
          <w:marLeft w:val="240"/>
          <w:marRight w:val="90"/>
          <w:marTop w:val="120"/>
          <w:marBottom w:val="75"/>
          <w:divBdr>
            <w:top w:val="none" w:sz="0" w:space="0" w:color="auto"/>
            <w:left w:val="none" w:sz="0" w:space="0" w:color="auto"/>
            <w:bottom w:val="none" w:sz="0" w:space="0" w:color="auto"/>
            <w:right w:val="none" w:sz="0" w:space="0" w:color="auto"/>
          </w:divBdr>
          <w:divsChild>
            <w:div w:id="761223678">
              <w:marLeft w:val="180"/>
              <w:marRight w:val="0"/>
              <w:marTop w:val="180"/>
              <w:marBottom w:val="0"/>
              <w:divBdr>
                <w:top w:val="none" w:sz="0" w:space="0" w:color="auto"/>
                <w:left w:val="none" w:sz="0" w:space="0" w:color="auto"/>
                <w:bottom w:val="none" w:sz="0" w:space="0" w:color="auto"/>
                <w:right w:val="none" w:sz="0" w:space="0" w:color="auto"/>
              </w:divBdr>
            </w:div>
            <w:div w:id="189434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466624">
      <w:bodyDiv w:val="1"/>
      <w:marLeft w:val="0"/>
      <w:marRight w:val="0"/>
      <w:marTop w:val="0"/>
      <w:marBottom w:val="0"/>
      <w:divBdr>
        <w:top w:val="none" w:sz="0" w:space="0" w:color="auto"/>
        <w:left w:val="none" w:sz="0" w:space="0" w:color="auto"/>
        <w:bottom w:val="none" w:sz="0" w:space="0" w:color="auto"/>
        <w:right w:val="none" w:sz="0" w:space="0" w:color="auto"/>
      </w:divBdr>
    </w:div>
    <w:div w:id="1772974183">
      <w:bodyDiv w:val="1"/>
      <w:marLeft w:val="0"/>
      <w:marRight w:val="0"/>
      <w:marTop w:val="0"/>
      <w:marBottom w:val="0"/>
      <w:divBdr>
        <w:top w:val="none" w:sz="0" w:space="0" w:color="auto"/>
        <w:left w:val="none" w:sz="0" w:space="0" w:color="auto"/>
        <w:bottom w:val="none" w:sz="0" w:space="0" w:color="auto"/>
        <w:right w:val="none" w:sz="0" w:space="0" w:color="auto"/>
      </w:divBdr>
    </w:div>
    <w:div w:id="1776100323">
      <w:bodyDiv w:val="1"/>
      <w:marLeft w:val="0"/>
      <w:marRight w:val="0"/>
      <w:marTop w:val="0"/>
      <w:marBottom w:val="0"/>
      <w:divBdr>
        <w:top w:val="none" w:sz="0" w:space="0" w:color="auto"/>
        <w:left w:val="none" w:sz="0" w:space="0" w:color="auto"/>
        <w:bottom w:val="none" w:sz="0" w:space="0" w:color="auto"/>
        <w:right w:val="none" w:sz="0" w:space="0" w:color="auto"/>
      </w:divBdr>
    </w:div>
    <w:div w:id="1789474266">
      <w:bodyDiv w:val="1"/>
      <w:marLeft w:val="0"/>
      <w:marRight w:val="0"/>
      <w:marTop w:val="0"/>
      <w:marBottom w:val="0"/>
      <w:divBdr>
        <w:top w:val="none" w:sz="0" w:space="0" w:color="auto"/>
        <w:left w:val="none" w:sz="0" w:space="0" w:color="auto"/>
        <w:bottom w:val="none" w:sz="0" w:space="0" w:color="auto"/>
        <w:right w:val="none" w:sz="0" w:space="0" w:color="auto"/>
      </w:divBdr>
    </w:div>
    <w:div w:id="1793090460">
      <w:bodyDiv w:val="1"/>
      <w:marLeft w:val="0"/>
      <w:marRight w:val="0"/>
      <w:marTop w:val="0"/>
      <w:marBottom w:val="0"/>
      <w:divBdr>
        <w:top w:val="none" w:sz="0" w:space="0" w:color="auto"/>
        <w:left w:val="none" w:sz="0" w:space="0" w:color="auto"/>
        <w:bottom w:val="none" w:sz="0" w:space="0" w:color="auto"/>
        <w:right w:val="none" w:sz="0" w:space="0" w:color="auto"/>
      </w:divBdr>
    </w:div>
    <w:div w:id="1816406989">
      <w:bodyDiv w:val="1"/>
      <w:marLeft w:val="0"/>
      <w:marRight w:val="0"/>
      <w:marTop w:val="0"/>
      <w:marBottom w:val="0"/>
      <w:divBdr>
        <w:top w:val="none" w:sz="0" w:space="0" w:color="auto"/>
        <w:left w:val="none" w:sz="0" w:space="0" w:color="auto"/>
        <w:bottom w:val="none" w:sz="0" w:space="0" w:color="auto"/>
        <w:right w:val="none" w:sz="0" w:space="0" w:color="auto"/>
      </w:divBdr>
    </w:div>
    <w:div w:id="1819877508">
      <w:bodyDiv w:val="1"/>
      <w:marLeft w:val="0"/>
      <w:marRight w:val="0"/>
      <w:marTop w:val="0"/>
      <w:marBottom w:val="0"/>
      <w:divBdr>
        <w:top w:val="none" w:sz="0" w:space="0" w:color="auto"/>
        <w:left w:val="none" w:sz="0" w:space="0" w:color="auto"/>
        <w:bottom w:val="none" w:sz="0" w:space="0" w:color="auto"/>
        <w:right w:val="none" w:sz="0" w:space="0" w:color="auto"/>
      </w:divBdr>
    </w:div>
    <w:div w:id="1832333545">
      <w:bodyDiv w:val="1"/>
      <w:marLeft w:val="0"/>
      <w:marRight w:val="0"/>
      <w:marTop w:val="0"/>
      <w:marBottom w:val="0"/>
      <w:divBdr>
        <w:top w:val="none" w:sz="0" w:space="0" w:color="auto"/>
        <w:left w:val="none" w:sz="0" w:space="0" w:color="auto"/>
        <w:bottom w:val="none" w:sz="0" w:space="0" w:color="auto"/>
        <w:right w:val="none" w:sz="0" w:space="0" w:color="auto"/>
      </w:divBdr>
    </w:div>
    <w:div w:id="1839074951">
      <w:marLeft w:val="0"/>
      <w:marRight w:val="0"/>
      <w:marTop w:val="0"/>
      <w:marBottom w:val="0"/>
      <w:divBdr>
        <w:top w:val="none" w:sz="0" w:space="0" w:color="auto"/>
        <w:left w:val="none" w:sz="0" w:space="0" w:color="auto"/>
        <w:bottom w:val="none" w:sz="0" w:space="0" w:color="auto"/>
        <w:right w:val="none" w:sz="0" w:space="0" w:color="auto"/>
      </w:divBdr>
      <w:divsChild>
        <w:div w:id="695160387">
          <w:marLeft w:val="0"/>
          <w:marRight w:val="0"/>
          <w:marTop w:val="0"/>
          <w:marBottom w:val="0"/>
          <w:divBdr>
            <w:top w:val="none" w:sz="0" w:space="0" w:color="auto"/>
            <w:left w:val="none" w:sz="0" w:space="0" w:color="auto"/>
            <w:bottom w:val="none" w:sz="0" w:space="0" w:color="auto"/>
            <w:right w:val="none" w:sz="0" w:space="0" w:color="auto"/>
          </w:divBdr>
        </w:div>
      </w:divsChild>
    </w:div>
    <w:div w:id="1845626789">
      <w:bodyDiv w:val="1"/>
      <w:marLeft w:val="0"/>
      <w:marRight w:val="0"/>
      <w:marTop w:val="0"/>
      <w:marBottom w:val="0"/>
      <w:divBdr>
        <w:top w:val="none" w:sz="0" w:space="0" w:color="auto"/>
        <w:left w:val="none" w:sz="0" w:space="0" w:color="auto"/>
        <w:bottom w:val="none" w:sz="0" w:space="0" w:color="auto"/>
        <w:right w:val="none" w:sz="0" w:space="0" w:color="auto"/>
      </w:divBdr>
    </w:div>
    <w:div w:id="1851068642">
      <w:bodyDiv w:val="1"/>
      <w:marLeft w:val="0"/>
      <w:marRight w:val="0"/>
      <w:marTop w:val="0"/>
      <w:marBottom w:val="0"/>
      <w:divBdr>
        <w:top w:val="none" w:sz="0" w:space="0" w:color="auto"/>
        <w:left w:val="none" w:sz="0" w:space="0" w:color="auto"/>
        <w:bottom w:val="none" w:sz="0" w:space="0" w:color="auto"/>
        <w:right w:val="none" w:sz="0" w:space="0" w:color="auto"/>
      </w:divBdr>
    </w:div>
    <w:div w:id="1853521889">
      <w:bodyDiv w:val="1"/>
      <w:marLeft w:val="0"/>
      <w:marRight w:val="0"/>
      <w:marTop w:val="0"/>
      <w:marBottom w:val="0"/>
      <w:divBdr>
        <w:top w:val="none" w:sz="0" w:space="0" w:color="auto"/>
        <w:left w:val="none" w:sz="0" w:space="0" w:color="auto"/>
        <w:bottom w:val="none" w:sz="0" w:space="0" w:color="auto"/>
        <w:right w:val="none" w:sz="0" w:space="0" w:color="auto"/>
      </w:divBdr>
    </w:div>
    <w:div w:id="1864246549">
      <w:bodyDiv w:val="1"/>
      <w:marLeft w:val="0"/>
      <w:marRight w:val="0"/>
      <w:marTop w:val="0"/>
      <w:marBottom w:val="0"/>
      <w:divBdr>
        <w:top w:val="none" w:sz="0" w:space="0" w:color="auto"/>
        <w:left w:val="none" w:sz="0" w:space="0" w:color="auto"/>
        <w:bottom w:val="none" w:sz="0" w:space="0" w:color="auto"/>
        <w:right w:val="none" w:sz="0" w:space="0" w:color="auto"/>
      </w:divBdr>
    </w:div>
    <w:div w:id="1879780329">
      <w:bodyDiv w:val="1"/>
      <w:marLeft w:val="0"/>
      <w:marRight w:val="0"/>
      <w:marTop w:val="0"/>
      <w:marBottom w:val="0"/>
      <w:divBdr>
        <w:top w:val="none" w:sz="0" w:space="0" w:color="auto"/>
        <w:left w:val="none" w:sz="0" w:space="0" w:color="auto"/>
        <w:bottom w:val="none" w:sz="0" w:space="0" w:color="auto"/>
        <w:right w:val="none" w:sz="0" w:space="0" w:color="auto"/>
      </w:divBdr>
    </w:div>
    <w:div w:id="1893535520">
      <w:bodyDiv w:val="1"/>
      <w:marLeft w:val="0"/>
      <w:marRight w:val="0"/>
      <w:marTop w:val="0"/>
      <w:marBottom w:val="0"/>
      <w:divBdr>
        <w:top w:val="none" w:sz="0" w:space="0" w:color="auto"/>
        <w:left w:val="none" w:sz="0" w:space="0" w:color="auto"/>
        <w:bottom w:val="none" w:sz="0" w:space="0" w:color="auto"/>
        <w:right w:val="none" w:sz="0" w:space="0" w:color="auto"/>
      </w:divBdr>
    </w:div>
    <w:div w:id="1894804269">
      <w:bodyDiv w:val="1"/>
      <w:marLeft w:val="0"/>
      <w:marRight w:val="0"/>
      <w:marTop w:val="0"/>
      <w:marBottom w:val="0"/>
      <w:divBdr>
        <w:top w:val="none" w:sz="0" w:space="0" w:color="auto"/>
        <w:left w:val="none" w:sz="0" w:space="0" w:color="auto"/>
        <w:bottom w:val="none" w:sz="0" w:space="0" w:color="auto"/>
        <w:right w:val="none" w:sz="0" w:space="0" w:color="auto"/>
      </w:divBdr>
    </w:div>
    <w:div w:id="1918781544">
      <w:bodyDiv w:val="1"/>
      <w:marLeft w:val="0"/>
      <w:marRight w:val="0"/>
      <w:marTop w:val="0"/>
      <w:marBottom w:val="0"/>
      <w:divBdr>
        <w:top w:val="none" w:sz="0" w:space="0" w:color="auto"/>
        <w:left w:val="none" w:sz="0" w:space="0" w:color="auto"/>
        <w:bottom w:val="none" w:sz="0" w:space="0" w:color="auto"/>
        <w:right w:val="none" w:sz="0" w:space="0" w:color="auto"/>
      </w:divBdr>
    </w:div>
    <w:div w:id="1918784934">
      <w:bodyDiv w:val="1"/>
      <w:marLeft w:val="0"/>
      <w:marRight w:val="0"/>
      <w:marTop w:val="0"/>
      <w:marBottom w:val="0"/>
      <w:divBdr>
        <w:top w:val="none" w:sz="0" w:space="0" w:color="auto"/>
        <w:left w:val="none" w:sz="0" w:space="0" w:color="auto"/>
        <w:bottom w:val="none" w:sz="0" w:space="0" w:color="auto"/>
        <w:right w:val="none" w:sz="0" w:space="0" w:color="auto"/>
      </w:divBdr>
    </w:div>
    <w:div w:id="1932736545">
      <w:bodyDiv w:val="1"/>
      <w:marLeft w:val="0"/>
      <w:marRight w:val="0"/>
      <w:marTop w:val="0"/>
      <w:marBottom w:val="0"/>
      <w:divBdr>
        <w:top w:val="none" w:sz="0" w:space="0" w:color="auto"/>
        <w:left w:val="none" w:sz="0" w:space="0" w:color="auto"/>
        <w:bottom w:val="none" w:sz="0" w:space="0" w:color="auto"/>
        <w:right w:val="none" w:sz="0" w:space="0" w:color="auto"/>
      </w:divBdr>
    </w:div>
    <w:div w:id="1933783194">
      <w:bodyDiv w:val="1"/>
      <w:marLeft w:val="0"/>
      <w:marRight w:val="0"/>
      <w:marTop w:val="0"/>
      <w:marBottom w:val="0"/>
      <w:divBdr>
        <w:top w:val="none" w:sz="0" w:space="0" w:color="auto"/>
        <w:left w:val="none" w:sz="0" w:space="0" w:color="auto"/>
        <w:bottom w:val="none" w:sz="0" w:space="0" w:color="auto"/>
        <w:right w:val="none" w:sz="0" w:space="0" w:color="auto"/>
      </w:divBdr>
      <w:divsChild>
        <w:div w:id="1261833243">
          <w:marLeft w:val="0"/>
          <w:marRight w:val="0"/>
          <w:marTop w:val="0"/>
          <w:marBottom w:val="0"/>
          <w:divBdr>
            <w:top w:val="none" w:sz="0" w:space="0" w:color="auto"/>
            <w:left w:val="none" w:sz="0" w:space="0" w:color="auto"/>
            <w:bottom w:val="none" w:sz="0" w:space="0" w:color="auto"/>
            <w:right w:val="none" w:sz="0" w:space="0" w:color="auto"/>
          </w:divBdr>
          <w:divsChild>
            <w:div w:id="407269276">
              <w:marLeft w:val="0"/>
              <w:marRight w:val="0"/>
              <w:marTop w:val="0"/>
              <w:marBottom w:val="0"/>
              <w:divBdr>
                <w:top w:val="none" w:sz="0" w:space="0" w:color="auto"/>
                <w:left w:val="none" w:sz="0" w:space="0" w:color="auto"/>
                <w:bottom w:val="none" w:sz="0" w:space="0" w:color="auto"/>
                <w:right w:val="none" w:sz="0" w:space="0" w:color="auto"/>
              </w:divBdr>
            </w:div>
          </w:divsChild>
        </w:div>
        <w:div w:id="1714884289">
          <w:marLeft w:val="0"/>
          <w:marRight w:val="0"/>
          <w:marTop w:val="0"/>
          <w:marBottom w:val="0"/>
          <w:divBdr>
            <w:top w:val="none" w:sz="0" w:space="0" w:color="auto"/>
            <w:left w:val="none" w:sz="0" w:space="0" w:color="auto"/>
            <w:bottom w:val="none" w:sz="0" w:space="0" w:color="auto"/>
            <w:right w:val="none" w:sz="0" w:space="0" w:color="auto"/>
          </w:divBdr>
          <w:divsChild>
            <w:div w:id="9371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983609">
      <w:bodyDiv w:val="1"/>
      <w:marLeft w:val="0"/>
      <w:marRight w:val="0"/>
      <w:marTop w:val="0"/>
      <w:marBottom w:val="0"/>
      <w:divBdr>
        <w:top w:val="none" w:sz="0" w:space="0" w:color="auto"/>
        <w:left w:val="none" w:sz="0" w:space="0" w:color="auto"/>
        <w:bottom w:val="none" w:sz="0" w:space="0" w:color="auto"/>
        <w:right w:val="none" w:sz="0" w:space="0" w:color="auto"/>
      </w:divBdr>
    </w:div>
    <w:div w:id="1943877136">
      <w:bodyDiv w:val="1"/>
      <w:marLeft w:val="0"/>
      <w:marRight w:val="0"/>
      <w:marTop w:val="0"/>
      <w:marBottom w:val="0"/>
      <w:divBdr>
        <w:top w:val="none" w:sz="0" w:space="0" w:color="auto"/>
        <w:left w:val="none" w:sz="0" w:space="0" w:color="auto"/>
        <w:bottom w:val="none" w:sz="0" w:space="0" w:color="auto"/>
        <w:right w:val="none" w:sz="0" w:space="0" w:color="auto"/>
      </w:divBdr>
    </w:div>
    <w:div w:id="1943955261">
      <w:bodyDiv w:val="1"/>
      <w:marLeft w:val="0"/>
      <w:marRight w:val="0"/>
      <w:marTop w:val="0"/>
      <w:marBottom w:val="0"/>
      <w:divBdr>
        <w:top w:val="none" w:sz="0" w:space="0" w:color="auto"/>
        <w:left w:val="none" w:sz="0" w:space="0" w:color="auto"/>
        <w:bottom w:val="none" w:sz="0" w:space="0" w:color="auto"/>
        <w:right w:val="none" w:sz="0" w:space="0" w:color="auto"/>
      </w:divBdr>
    </w:div>
    <w:div w:id="1952780878">
      <w:bodyDiv w:val="1"/>
      <w:marLeft w:val="0"/>
      <w:marRight w:val="0"/>
      <w:marTop w:val="0"/>
      <w:marBottom w:val="0"/>
      <w:divBdr>
        <w:top w:val="none" w:sz="0" w:space="0" w:color="auto"/>
        <w:left w:val="none" w:sz="0" w:space="0" w:color="auto"/>
        <w:bottom w:val="none" w:sz="0" w:space="0" w:color="auto"/>
        <w:right w:val="none" w:sz="0" w:space="0" w:color="auto"/>
      </w:divBdr>
    </w:div>
    <w:div w:id="1954049381">
      <w:bodyDiv w:val="1"/>
      <w:marLeft w:val="0"/>
      <w:marRight w:val="0"/>
      <w:marTop w:val="0"/>
      <w:marBottom w:val="0"/>
      <w:divBdr>
        <w:top w:val="none" w:sz="0" w:space="0" w:color="auto"/>
        <w:left w:val="none" w:sz="0" w:space="0" w:color="auto"/>
        <w:bottom w:val="none" w:sz="0" w:space="0" w:color="auto"/>
        <w:right w:val="none" w:sz="0" w:space="0" w:color="auto"/>
      </w:divBdr>
    </w:div>
    <w:div w:id="1965503843">
      <w:bodyDiv w:val="1"/>
      <w:marLeft w:val="0"/>
      <w:marRight w:val="0"/>
      <w:marTop w:val="0"/>
      <w:marBottom w:val="0"/>
      <w:divBdr>
        <w:top w:val="none" w:sz="0" w:space="0" w:color="auto"/>
        <w:left w:val="none" w:sz="0" w:space="0" w:color="auto"/>
        <w:bottom w:val="none" w:sz="0" w:space="0" w:color="auto"/>
        <w:right w:val="none" w:sz="0" w:space="0" w:color="auto"/>
      </w:divBdr>
    </w:div>
    <w:div w:id="1971477802">
      <w:bodyDiv w:val="1"/>
      <w:marLeft w:val="0"/>
      <w:marRight w:val="0"/>
      <w:marTop w:val="0"/>
      <w:marBottom w:val="0"/>
      <w:divBdr>
        <w:top w:val="none" w:sz="0" w:space="0" w:color="auto"/>
        <w:left w:val="none" w:sz="0" w:space="0" w:color="auto"/>
        <w:bottom w:val="none" w:sz="0" w:space="0" w:color="auto"/>
        <w:right w:val="none" w:sz="0" w:space="0" w:color="auto"/>
      </w:divBdr>
    </w:div>
    <w:div w:id="1971813342">
      <w:bodyDiv w:val="1"/>
      <w:marLeft w:val="0"/>
      <w:marRight w:val="0"/>
      <w:marTop w:val="0"/>
      <w:marBottom w:val="0"/>
      <w:divBdr>
        <w:top w:val="none" w:sz="0" w:space="0" w:color="auto"/>
        <w:left w:val="none" w:sz="0" w:space="0" w:color="auto"/>
        <w:bottom w:val="none" w:sz="0" w:space="0" w:color="auto"/>
        <w:right w:val="none" w:sz="0" w:space="0" w:color="auto"/>
      </w:divBdr>
    </w:div>
    <w:div w:id="1982073984">
      <w:bodyDiv w:val="1"/>
      <w:marLeft w:val="0"/>
      <w:marRight w:val="0"/>
      <w:marTop w:val="0"/>
      <w:marBottom w:val="0"/>
      <w:divBdr>
        <w:top w:val="none" w:sz="0" w:space="0" w:color="auto"/>
        <w:left w:val="none" w:sz="0" w:space="0" w:color="auto"/>
        <w:bottom w:val="none" w:sz="0" w:space="0" w:color="auto"/>
        <w:right w:val="none" w:sz="0" w:space="0" w:color="auto"/>
      </w:divBdr>
    </w:div>
    <w:div w:id="1982419062">
      <w:bodyDiv w:val="1"/>
      <w:marLeft w:val="0"/>
      <w:marRight w:val="0"/>
      <w:marTop w:val="0"/>
      <w:marBottom w:val="0"/>
      <w:divBdr>
        <w:top w:val="none" w:sz="0" w:space="0" w:color="auto"/>
        <w:left w:val="none" w:sz="0" w:space="0" w:color="auto"/>
        <w:bottom w:val="none" w:sz="0" w:space="0" w:color="auto"/>
        <w:right w:val="none" w:sz="0" w:space="0" w:color="auto"/>
      </w:divBdr>
    </w:div>
    <w:div w:id="1984504703">
      <w:bodyDiv w:val="1"/>
      <w:marLeft w:val="0"/>
      <w:marRight w:val="0"/>
      <w:marTop w:val="0"/>
      <w:marBottom w:val="0"/>
      <w:divBdr>
        <w:top w:val="none" w:sz="0" w:space="0" w:color="auto"/>
        <w:left w:val="none" w:sz="0" w:space="0" w:color="auto"/>
        <w:bottom w:val="none" w:sz="0" w:space="0" w:color="auto"/>
        <w:right w:val="none" w:sz="0" w:space="0" w:color="auto"/>
      </w:divBdr>
    </w:div>
    <w:div w:id="1984651692">
      <w:bodyDiv w:val="1"/>
      <w:marLeft w:val="0"/>
      <w:marRight w:val="0"/>
      <w:marTop w:val="0"/>
      <w:marBottom w:val="0"/>
      <w:divBdr>
        <w:top w:val="none" w:sz="0" w:space="0" w:color="auto"/>
        <w:left w:val="none" w:sz="0" w:space="0" w:color="auto"/>
        <w:bottom w:val="none" w:sz="0" w:space="0" w:color="auto"/>
        <w:right w:val="none" w:sz="0" w:space="0" w:color="auto"/>
      </w:divBdr>
    </w:div>
    <w:div w:id="1989017740">
      <w:bodyDiv w:val="1"/>
      <w:marLeft w:val="0"/>
      <w:marRight w:val="0"/>
      <w:marTop w:val="0"/>
      <w:marBottom w:val="0"/>
      <w:divBdr>
        <w:top w:val="none" w:sz="0" w:space="0" w:color="auto"/>
        <w:left w:val="none" w:sz="0" w:space="0" w:color="auto"/>
        <w:bottom w:val="none" w:sz="0" w:space="0" w:color="auto"/>
        <w:right w:val="none" w:sz="0" w:space="0" w:color="auto"/>
      </w:divBdr>
    </w:div>
    <w:div w:id="1993677995">
      <w:bodyDiv w:val="1"/>
      <w:marLeft w:val="0"/>
      <w:marRight w:val="0"/>
      <w:marTop w:val="0"/>
      <w:marBottom w:val="0"/>
      <w:divBdr>
        <w:top w:val="none" w:sz="0" w:space="0" w:color="auto"/>
        <w:left w:val="none" w:sz="0" w:space="0" w:color="auto"/>
        <w:bottom w:val="none" w:sz="0" w:space="0" w:color="auto"/>
        <w:right w:val="none" w:sz="0" w:space="0" w:color="auto"/>
      </w:divBdr>
    </w:div>
    <w:div w:id="1996184533">
      <w:bodyDiv w:val="1"/>
      <w:marLeft w:val="0"/>
      <w:marRight w:val="0"/>
      <w:marTop w:val="0"/>
      <w:marBottom w:val="0"/>
      <w:divBdr>
        <w:top w:val="none" w:sz="0" w:space="0" w:color="auto"/>
        <w:left w:val="none" w:sz="0" w:space="0" w:color="auto"/>
        <w:bottom w:val="none" w:sz="0" w:space="0" w:color="auto"/>
        <w:right w:val="none" w:sz="0" w:space="0" w:color="auto"/>
      </w:divBdr>
    </w:div>
    <w:div w:id="2006667617">
      <w:bodyDiv w:val="1"/>
      <w:marLeft w:val="0"/>
      <w:marRight w:val="0"/>
      <w:marTop w:val="0"/>
      <w:marBottom w:val="0"/>
      <w:divBdr>
        <w:top w:val="none" w:sz="0" w:space="0" w:color="auto"/>
        <w:left w:val="none" w:sz="0" w:space="0" w:color="auto"/>
        <w:bottom w:val="none" w:sz="0" w:space="0" w:color="auto"/>
        <w:right w:val="none" w:sz="0" w:space="0" w:color="auto"/>
      </w:divBdr>
    </w:div>
    <w:div w:id="2027323019">
      <w:bodyDiv w:val="1"/>
      <w:marLeft w:val="0"/>
      <w:marRight w:val="0"/>
      <w:marTop w:val="0"/>
      <w:marBottom w:val="0"/>
      <w:divBdr>
        <w:top w:val="none" w:sz="0" w:space="0" w:color="auto"/>
        <w:left w:val="none" w:sz="0" w:space="0" w:color="auto"/>
        <w:bottom w:val="none" w:sz="0" w:space="0" w:color="auto"/>
        <w:right w:val="none" w:sz="0" w:space="0" w:color="auto"/>
      </w:divBdr>
    </w:div>
    <w:div w:id="2027512495">
      <w:bodyDiv w:val="1"/>
      <w:marLeft w:val="0"/>
      <w:marRight w:val="0"/>
      <w:marTop w:val="0"/>
      <w:marBottom w:val="0"/>
      <w:divBdr>
        <w:top w:val="none" w:sz="0" w:space="0" w:color="auto"/>
        <w:left w:val="none" w:sz="0" w:space="0" w:color="auto"/>
        <w:bottom w:val="none" w:sz="0" w:space="0" w:color="auto"/>
        <w:right w:val="none" w:sz="0" w:space="0" w:color="auto"/>
      </w:divBdr>
    </w:div>
    <w:div w:id="2040085249">
      <w:bodyDiv w:val="1"/>
      <w:marLeft w:val="0"/>
      <w:marRight w:val="0"/>
      <w:marTop w:val="0"/>
      <w:marBottom w:val="0"/>
      <w:divBdr>
        <w:top w:val="none" w:sz="0" w:space="0" w:color="auto"/>
        <w:left w:val="none" w:sz="0" w:space="0" w:color="auto"/>
        <w:bottom w:val="none" w:sz="0" w:space="0" w:color="auto"/>
        <w:right w:val="none" w:sz="0" w:space="0" w:color="auto"/>
      </w:divBdr>
    </w:div>
    <w:div w:id="2053455595">
      <w:bodyDiv w:val="1"/>
      <w:marLeft w:val="0"/>
      <w:marRight w:val="0"/>
      <w:marTop w:val="0"/>
      <w:marBottom w:val="0"/>
      <w:divBdr>
        <w:top w:val="none" w:sz="0" w:space="0" w:color="auto"/>
        <w:left w:val="none" w:sz="0" w:space="0" w:color="auto"/>
        <w:bottom w:val="none" w:sz="0" w:space="0" w:color="auto"/>
        <w:right w:val="none" w:sz="0" w:space="0" w:color="auto"/>
      </w:divBdr>
    </w:div>
    <w:div w:id="2053571123">
      <w:bodyDiv w:val="1"/>
      <w:marLeft w:val="0"/>
      <w:marRight w:val="0"/>
      <w:marTop w:val="0"/>
      <w:marBottom w:val="0"/>
      <w:divBdr>
        <w:top w:val="none" w:sz="0" w:space="0" w:color="auto"/>
        <w:left w:val="none" w:sz="0" w:space="0" w:color="auto"/>
        <w:bottom w:val="none" w:sz="0" w:space="0" w:color="auto"/>
        <w:right w:val="none" w:sz="0" w:space="0" w:color="auto"/>
      </w:divBdr>
    </w:div>
    <w:div w:id="2072339132">
      <w:bodyDiv w:val="1"/>
      <w:marLeft w:val="0"/>
      <w:marRight w:val="0"/>
      <w:marTop w:val="0"/>
      <w:marBottom w:val="0"/>
      <w:divBdr>
        <w:top w:val="none" w:sz="0" w:space="0" w:color="auto"/>
        <w:left w:val="none" w:sz="0" w:space="0" w:color="auto"/>
        <w:bottom w:val="none" w:sz="0" w:space="0" w:color="auto"/>
        <w:right w:val="none" w:sz="0" w:space="0" w:color="auto"/>
      </w:divBdr>
    </w:div>
    <w:div w:id="2073773459">
      <w:bodyDiv w:val="1"/>
      <w:marLeft w:val="0"/>
      <w:marRight w:val="0"/>
      <w:marTop w:val="0"/>
      <w:marBottom w:val="0"/>
      <w:divBdr>
        <w:top w:val="none" w:sz="0" w:space="0" w:color="auto"/>
        <w:left w:val="none" w:sz="0" w:space="0" w:color="auto"/>
        <w:bottom w:val="none" w:sz="0" w:space="0" w:color="auto"/>
        <w:right w:val="none" w:sz="0" w:space="0" w:color="auto"/>
      </w:divBdr>
    </w:div>
    <w:div w:id="2074548965">
      <w:bodyDiv w:val="1"/>
      <w:marLeft w:val="0"/>
      <w:marRight w:val="0"/>
      <w:marTop w:val="0"/>
      <w:marBottom w:val="0"/>
      <w:divBdr>
        <w:top w:val="none" w:sz="0" w:space="0" w:color="auto"/>
        <w:left w:val="none" w:sz="0" w:space="0" w:color="auto"/>
        <w:bottom w:val="none" w:sz="0" w:space="0" w:color="auto"/>
        <w:right w:val="none" w:sz="0" w:space="0" w:color="auto"/>
      </w:divBdr>
    </w:div>
    <w:div w:id="2078741420">
      <w:bodyDiv w:val="1"/>
      <w:marLeft w:val="0"/>
      <w:marRight w:val="0"/>
      <w:marTop w:val="0"/>
      <w:marBottom w:val="0"/>
      <w:divBdr>
        <w:top w:val="none" w:sz="0" w:space="0" w:color="auto"/>
        <w:left w:val="none" w:sz="0" w:space="0" w:color="auto"/>
        <w:bottom w:val="none" w:sz="0" w:space="0" w:color="auto"/>
        <w:right w:val="none" w:sz="0" w:space="0" w:color="auto"/>
      </w:divBdr>
    </w:div>
    <w:div w:id="2091002360">
      <w:bodyDiv w:val="1"/>
      <w:marLeft w:val="0"/>
      <w:marRight w:val="0"/>
      <w:marTop w:val="0"/>
      <w:marBottom w:val="0"/>
      <w:divBdr>
        <w:top w:val="none" w:sz="0" w:space="0" w:color="auto"/>
        <w:left w:val="none" w:sz="0" w:space="0" w:color="auto"/>
        <w:bottom w:val="none" w:sz="0" w:space="0" w:color="auto"/>
        <w:right w:val="none" w:sz="0" w:space="0" w:color="auto"/>
      </w:divBdr>
    </w:div>
    <w:div w:id="2095588643">
      <w:bodyDiv w:val="1"/>
      <w:marLeft w:val="0"/>
      <w:marRight w:val="0"/>
      <w:marTop w:val="0"/>
      <w:marBottom w:val="0"/>
      <w:divBdr>
        <w:top w:val="none" w:sz="0" w:space="0" w:color="auto"/>
        <w:left w:val="none" w:sz="0" w:space="0" w:color="auto"/>
        <w:bottom w:val="none" w:sz="0" w:space="0" w:color="auto"/>
        <w:right w:val="none" w:sz="0" w:space="0" w:color="auto"/>
      </w:divBdr>
    </w:div>
    <w:div w:id="2097171880">
      <w:bodyDiv w:val="1"/>
      <w:marLeft w:val="0"/>
      <w:marRight w:val="0"/>
      <w:marTop w:val="0"/>
      <w:marBottom w:val="0"/>
      <w:divBdr>
        <w:top w:val="none" w:sz="0" w:space="0" w:color="auto"/>
        <w:left w:val="none" w:sz="0" w:space="0" w:color="auto"/>
        <w:bottom w:val="none" w:sz="0" w:space="0" w:color="auto"/>
        <w:right w:val="none" w:sz="0" w:space="0" w:color="auto"/>
      </w:divBdr>
    </w:div>
    <w:div w:id="2097356678">
      <w:marLeft w:val="0"/>
      <w:marRight w:val="0"/>
      <w:marTop w:val="0"/>
      <w:marBottom w:val="0"/>
      <w:divBdr>
        <w:top w:val="none" w:sz="0" w:space="0" w:color="auto"/>
        <w:left w:val="none" w:sz="0" w:space="0" w:color="auto"/>
        <w:bottom w:val="none" w:sz="0" w:space="0" w:color="auto"/>
        <w:right w:val="none" w:sz="0" w:space="0" w:color="auto"/>
      </w:divBdr>
      <w:divsChild>
        <w:div w:id="285622360">
          <w:marLeft w:val="0"/>
          <w:marRight w:val="0"/>
          <w:marTop w:val="0"/>
          <w:marBottom w:val="0"/>
          <w:divBdr>
            <w:top w:val="none" w:sz="0" w:space="0" w:color="auto"/>
            <w:left w:val="none" w:sz="0" w:space="0" w:color="auto"/>
            <w:bottom w:val="none" w:sz="0" w:space="0" w:color="auto"/>
            <w:right w:val="none" w:sz="0" w:space="0" w:color="auto"/>
          </w:divBdr>
        </w:div>
      </w:divsChild>
    </w:div>
    <w:div w:id="2105372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jpe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image" Target="media/image6.png"/><Relationship Id="rId11" Type="http://schemas.openxmlformats.org/officeDocument/2006/relationships/footer" Target="footer3.xml"/><Relationship Id="rId32" Type="http://schemas.openxmlformats.org/officeDocument/2006/relationships/image" Target="media/image19.png"/><Relationship Id="rId37" Type="http://schemas.openxmlformats.org/officeDocument/2006/relationships/oleObject" Target="embeddings/oleObject3.bin"/><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72.png"/><Relationship Id="rId22" Type="http://schemas.openxmlformats.org/officeDocument/2006/relationships/image" Target="media/image11.wmf"/><Relationship Id="rId27" Type="http://schemas.openxmlformats.org/officeDocument/2006/relationships/image" Target="media/image15.jpe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jpeg"/><Relationship Id="rId8" Type="http://schemas.openxmlformats.org/officeDocument/2006/relationships/image" Target="media/image1.emf"/><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chart" Target="charts/chart2.xml"/><Relationship Id="rId38" Type="http://schemas.openxmlformats.org/officeDocument/2006/relationships/image" Target="media/image22.wmf"/><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chart" Target="charts/chart1.xml"/><Relationship Id="rId41" Type="http://schemas.openxmlformats.org/officeDocument/2006/relationships/oleObject" Target="embeddings/oleObject5.bin"/><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oleObject" Target="embeddings/oleObject1.bin"/><Relationship Id="rId28" Type="http://schemas.openxmlformats.org/officeDocument/2006/relationships/image" Target="media/image16.png"/><Relationship Id="rId36" Type="http://schemas.openxmlformats.org/officeDocument/2006/relationships/image" Target="media/image21.wmf"/><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er" Target="footer2.xml"/><Relationship Id="rId31" Type="http://schemas.microsoft.com/office/2007/relationships/hdphoto" Target="media/hdphoto1.wdp"/><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oleObject" Target="embeddings/oleObject4.bin"/><Relationship Id="rId34" Type="http://schemas.openxmlformats.org/officeDocument/2006/relationships/image" Target="media/image20.wmf"/><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3.wmf"/><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61" Type="http://schemas.openxmlformats.org/officeDocument/2006/relationships/image" Target="media/image43.jpeg"/><Relationship Id="rId82"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oleObject" Target="embeddings/oleObject2.bin"/><Relationship Id="rId56" Type="http://schemas.openxmlformats.org/officeDocument/2006/relationships/image" Target="media/image38.png"/><Relationship Id="rId77" Type="http://schemas.openxmlformats.org/officeDocument/2006/relationships/image" Target="media/image5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Hoja1!$B$2:$B$14</c:f>
              <c:strCache>
                <c:ptCount val="13"/>
                <c:pt idx="0">
                  <c:v>MC</c:v>
                </c:pt>
                <c:pt idx="1">
                  <c:v>α-CE</c:v>
                </c:pt>
                <c:pt idx="2">
                  <c:v>XY</c:v>
                </c:pt>
                <c:pt idx="3">
                  <c:v>GM</c:v>
                </c:pt>
                <c:pt idx="4">
                  <c:v>AG</c:v>
                </c:pt>
                <c:pt idx="5">
                  <c:v>LI</c:v>
                </c:pt>
                <c:pt idx="6">
                  <c:v>MC + XY</c:v>
                </c:pt>
                <c:pt idx="7">
                  <c:v>MC + GM</c:v>
                </c:pt>
                <c:pt idx="8">
                  <c:v>MC + AG</c:v>
                </c:pt>
                <c:pt idx="9">
                  <c:v>MC + LI</c:v>
                </c:pt>
                <c:pt idx="10">
                  <c:v>XY + LI</c:v>
                </c:pt>
                <c:pt idx="11">
                  <c:v>GM + LI</c:v>
                </c:pt>
                <c:pt idx="12">
                  <c:v>AG + LI</c:v>
                </c:pt>
              </c:strCache>
            </c:strRef>
          </c:cat>
          <c:val>
            <c:numRef>
              <c:f>Hoja1!$C$2:$C$14</c:f>
              <c:numCache>
                <c:formatCode>General</c:formatCode>
                <c:ptCount val="13"/>
                <c:pt idx="0">
                  <c:v>59.9</c:v>
                </c:pt>
                <c:pt idx="1">
                  <c:v>57.8</c:v>
                </c:pt>
                <c:pt idx="2">
                  <c:v>49.2</c:v>
                </c:pt>
                <c:pt idx="3">
                  <c:v>43.6</c:v>
                </c:pt>
                <c:pt idx="4">
                  <c:v>55.3</c:v>
                </c:pt>
                <c:pt idx="5">
                  <c:v>0.1</c:v>
                </c:pt>
                <c:pt idx="6">
                  <c:v>4.5999999999999996</c:v>
                </c:pt>
                <c:pt idx="7">
                  <c:v>2.6</c:v>
                </c:pt>
                <c:pt idx="8">
                  <c:v>1.3</c:v>
                </c:pt>
                <c:pt idx="9">
                  <c:v>9</c:v>
                </c:pt>
                <c:pt idx="10">
                  <c:v>3.9</c:v>
                </c:pt>
                <c:pt idx="11">
                  <c:v>3.9</c:v>
                </c:pt>
                <c:pt idx="12">
                  <c:v>6.4</c:v>
                </c:pt>
              </c:numCache>
            </c:numRef>
          </c:val>
          <c:extLst>
            <c:ext xmlns:c16="http://schemas.microsoft.com/office/drawing/2014/chart" uri="{C3380CC4-5D6E-409C-BE32-E72D297353CC}">
              <c16:uniqueId val="{00000000-74E0-4647-B9C4-A632C64BFCDE}"/>
            </c:ext>
          </c:extLst>
        </c:ser>
        <c:dLbls>
          <c:showLegendKey val="0"/>
          <c:showVal val="0"/>
          <c:showCatName val="0"/>
          <c:showSerName val="0"/>
          <c:showPercent val="0"/>
          <c:showBubbleSize val="0"/>
        </c:dLbls>
        <c:gapWidth val="182"/>
        <c:axId val="-623908368"/>
        <c:axId val="-623919792"/>
      </c:barChart>
      <c:catAx>
        <c:axId val="-623908368"/>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j-lt"/>
                    <a:ea typeface="+mn-ea"/>
                    <a:cs typeface="+mn-cs"/>
                  </a:defRPr>
                </a:pPr>
                <a:r>
                  <a:rPr lang="es-EC" b="1"/>
                  <a:t>Sustratos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j-lt"/>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s-EC"/>
          </a:p>
        </c:txPr>
        <c:crossAx val="-623919792"/>
        <c:crosses val="autoZero"/>
        <c:auto val="1"/>
        <c:lblAlgn val="ctr"/>
        <c:lblOffset val="100"/>
        <c:noMultiLvlLbl val="0"/>
      </c:catAx>
      <c:valAx>
        <c:axId val="-6239197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j-lt"/>
                    <a:ea typeface="+mn-ea"/>
                    <a:cs typeface="+mn-cs"/>
                  </a:defRPr>
                </a:pPr>
                <a:r>
                  <a:rPr lang="en-US" b="1"/>
                  <a:t>Biodegradabilidad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j-lt"/>
                  <a:ea typeface="+mn-ea"/>
                  <a:cs typeface="+mn-cs"/>
                </a:defRPr>
              </a:pPr>
              <a:endParaRPr lang="es-EC"/>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s-EC"/>
          </a:p>
        </c:txPr>
        <c:crossAx val="-623908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j-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Hoja1!$F$11:$G$15</c:f>
              <c:multiLvlStrCache>
                <c:ptCount val="5"/>
                <c:lvl>
                  <c:pt idx="0">
                    <c:v>Guanujo</c:v>
                  </c:pt>
                  <c:pt idx="1">
                    <c:v>San Miguel</c:v>
                  </c:pt>
                  <c:pt idx="2">
                    <c:v>Angel Polibio Chavez, Simiatug, San Simon,  Santa Fé</c:v>
                  </c:pt>
                  <c:pt idx="3">
                    <c:v>Ambato</c:v>
                  </c:pt>
                  <c:pt idx="4">
                    <c:v>Guamote</c:v>
                  </c:pt>
                </c:lvl>
                <c:lvl>
                  <c:pt idx="0">
                    <c:v>Guaranda</c:v>
                  </c:pt>
                  <c:pt idx="3">
                    <c:v>Ambato</c:v>
                  </c:pt>
                  <c:pt idx="4">
                    <c:v>Riobamba</c:v>
                  </c:pt>
                </c:lvl>
              </c:multiLvlStrCache>
            </c:multiLvlStrRef>
          </c:cat>
          <c:val>
            <c:numRef>
              <c:f>Hoja1!$H$11:$H$15</c:f>
              <c:numCache>
                <c:formatCode>0%</c:formatCode>
                <c:ptCount val="5"/>
                <c:pt idx="0">
                  <c:v>0.65</c:v>
                </c:pt>
                <c:pt idx="1">
                  <c:v>0.1</c:v>
                </c:pt>
                <c:pt idx="2">
                  <c:v>0.17</c:v>
                </c:pt>
                <c:pt idx="3">
                  <c:v>0.03</c:v>
                </c:pt>
                <c:pt idx="4">
                  <c:v>0.05</c:v>
                </c:pt>
              </c:numCache>
            </c:numRef>
          </c:val>
          <c:extLst>
            <c:ext xmlns:c16="http://schemas.microsoft.com/office/drawing/2014/chart" uri="{C3380CC4-5D6E-409C-BE32-E72D297353CC}">
              <c16:uniqueId val="{00000000-6216-49A1-B88C-13941F42B6A6}"/>
            </c:ext>
          </c:extLst>
        </c:ser>
        <c:dLbls>
          <c:dLblPos val="outEnd"/>
          <c:showLegendKey val="0"/>
          <c:showVal val="1"/>
          <c:showCatName val="0"/>
          <c:showSerName val="0"/>
          <c:showPercent val="0"/>
          <c:showBubbleSize val="0"/>
        </c:dLbls>
        <c:gapWidth val="80"/>
        <c:overlap val="25"/>
        <c:axId val="-623906736"/>
        <c:axId val="-623912720"/>
      </c:barChart>
      <c:catAx>
        <c:axId val="-623906736"/>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dk1"/>
                    </a:solidFill>
                    <a:latin typeface="+mj-lt"/>
                    <a:ea typeface="+mn-ea"/>
                    <a:cs typeface="+mn-cs"/>
                  </a:defRPr>
                </a:pPr>
                <a:r>
                  <a:rPr lang="en-US" b="1">
                    <a:latin typeface="+mj-lt"/>
                  </a:rPr>
                  <a:t>Procedencia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dk1"/>
                  </a:solidFill>
                  <a:latin typeface="+mj-lt"/>
                  <a:ea typeface="+mn-ea"/>
                  <a:cs typeface="+mn-cs"/>
                </a:defRPr>
              </a:pPr>
              <a:endParaRPr lang="es-EC"/>
            </a:p>
          </c:txPr>
        </c:title>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j-lt"/>
                <a:ea typeface="+mn-ea"/>
                <a:cs typeface="+mn-cs"/>
              </a:defRPr>
            </a:pPr>
            <a:endParaRPr lang="es-EC"/>
          </a:p>
        </c:txPr>
        <c:crossAx val="-623912720"/>
        <c:crosses val="autoZero"/>
        <c:auto val="1"/>
        <c:lblAlgn val="ctr"/>
        <c:lblOffset val="100"/>
        <c:noMultiLvlLbl val="0"/>
      </c:catAx>
      <c:valAx>
        <c:axId val="-623912720"/>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dk1"/>
                    </a:solidFill>
                    <a:latin typeface="+mj-lt"/>
                    <a:ea typeface="+mn-ea"/>
                    <a:cs typeface="+mn-cs"/>
                  </a:defRPr>
                </a:pPr>
                <a:r>
                  <a:rPr lang="en-US" b="1">
                    <a:latin typeface="+mj-lt"/>
                  </a:rPr>
                  <a:t>Porcentaje de Procedencia</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dk1"/>
                  </a:solidFill>
                  <a:latin typeface="+mj-lt"/>
                  <a:ea typeface="+mn-ea"/>
                  <a:cs typeface="+mn-cs"/>
                </a:defRPr>
              </a:pPr>
              <a:endParaRPr lang="es-EC"/>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j-lt"/>
                <a:ea typeface="+mn-ea"/>
                <a:cs typeface="+mn-cs"/>
              </a:defRPr>
            </a:pPr>
            <a:endParaRPr lang="es-EC"/>
          </a:p>
        </c:txPr>
        <c:crossAx val="-623906736"/>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bg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b:Source>
    <b:Tag>Pou16</b:Tag>
    <b:SourceType>JournalArticle</b:SourceType>
    <b:Guid>{4D3741CF-1928-4113-A515-66332FCC204F}</b:Guid>
    <b:Title>Improving biogas quality and methane yield via codigestion of agricultural and urban biomass wastes.</b:Title>
    <b:JournalName> Waste Manage</b:JournalName>
    <b:Year>2016</b:Year>
    <b:Author>
      <b:Author>
        <b:NameList>
          <b:Person>
            <b:Last>Poulsen</b:Last>
            <b:First>T.G.,</b:First>
            <b:Middle>Adelard, L.,</b:Middle>
          </b:Person>
        </b:NameList>
      </b:Author>
    </b:Author>
    <b:RefOrder>6</b:RefOrder>
  </b:Source>
  <b:Source>
    <b:Tag>Hol09</b:Tag>
    <b:SourceType>JournalArticle</b:SourceType>
    <b:Guid>{07366853-277B-436E-A4F1-3A1AAF27EC88}</b:Guid>
    <b:Author>
      <b:Author>
        <b:NameList>
          <b:Person>
            <b:Last>Holm-Nielsen JB</b:Last>
            <b:First>Al</b:First>
            <b:Middle>Seadi T, Oleskowicz-Popiel P.</b:Middle>
          </b:Person>
        </b:NameList>
      </b:Author>
    </b:Author>
    <b:Title>The future of anaerobic digestion and biogas utilization.</b:Title>
    <b:JournalName>Bioresour Technol</b:JournalName>
    <b:Year>2009</b:Year>
    <b:RefOrder>17</b:RefOrder>
  </b:Source>
  <b:Source>
    <b:Tag>Mar17</b:Tag>
    <b:SourceType>JournalArticle</b:SourceType>
    <b:Guid>{41ED0539-0B4C-40A8-A9F6-6671685888D4}</b:Guid>
    <b:Author>
      <b:Author>
        <b:NameList>
          <b:Person>
            <b:Last>Marcelo Calispa Aguilar</b:Last>
            <b:First>Yao</b:First>
            <b:Middle>Dong Wang, Tony Roskilly, Pankaj B Pathare Rasaq O. Lamidi.</b:Middle>
          </b:Person>
        </b:NameList>
      </b:Author>
    </b:Author>
    <b:Title>Biogas from anaerobic co-digestion of food waste and primary sludge for cogeneration of power and heat.</b:Title>
    <b:JournalName>Energy Procedia</b:JournalName>
    <b:Year>2017</b:Year>
    <b:RefOrder>18</b:RefOrder>
  </b:Source>
  <b:Source>
    <b:Tag>The15</b:Tag>
    <b:SourceType>InternetSite</b:SourceType>
    <b:Guid>{18EC6D14-ADB5-46E7-BA3D-FAD193BBBAB8}</b:Guid>
    <b:Title>Ecuador Overview</b:Title>
    <b:Year>2015</b:Year>
    <b:Author>
      <b:Author>
        <b:NameList>
          <b:Person>
            <b:Last>Bank</b:Last>
            <b:First>The</b:First>
            <b:Middle>Wold</b:Middle>
          </b:Person>
        </b:NameList>
      </b:Author>
    </b:Author>
    <b:YearAccessed>2018</b:YearAccessed>
    <b:MonthAccessed>Agosto</b:MonthAccessed>
    <b:DayAccessed>15</b:DayAccessed>
    <b:URL>http://www.worldbank.org/en/country/ecuador/overview#1.</b:URL>
    <b:RefOrder>19</b:RefOrder>
  </b:Source>
  <b:Source>
    <b:Tag>Nay18</b:Tag>
    <b:SourceType>JournalArticle</b:SourceType>
    <b:Guid>{EF805B6E-F87C-40D6-BA20-88E213508128}</b:Guid>
    <b:Title>Cocoa residues as viable biomass for renewable energy production through anaerobic digestion.</b:Title>
    <b:Year>2018</b:Year>
    <b:Author>
      <b:Author>
        <b:NameList>
          <b:Person>
            <b:Last>Nayaret Acosta</b:Last>
            <b:First>Jo</b:First>
            <b:Middle>De Vrieze, Verónica Sandoval, Danny Sinche, Isabella Wierinck, Korneel Rabaey</b:Middle>
          </b:Person>
        </b:NameList>
      </b:Author>
    </b:Author>
    <b:JournalName>Bioresource Technology</b:JournalName>
    <b:RefOrder>20</b:RefOrder>
  </b:Source>
  <b:Source>
    <b:Tag>Jua18</b:Tag>
    <b:SourceType>JournalArticle</b:SourceType>
    <b:Guid>{DEF77CA7-93C7-4B52-83D7-8EC404989E55}</b:Guid>
    <b:Author>
      <b:Author>
        <b:NameList>
          <b:Person>
            <b:Last>Juan Gaibor Chávez</b:Last>
            <b:First>Zulay</b:First>
            <b:Middle>Niño-Ruiz, Borja Velázquez Martí &amp; Araceli Lucio Quintana</b:Middle>
          </b:Person>
        </b:NameList>
      </b:Author>
    </b:Author>
    <b:Title>Viability of Biogas Production and Determination of Bacterial Kinetics in Anaerobic Co-digestion of Cabbage Waste and Livestock Manure</b:Title>
    <b:JournalName>Waste and Biomass Valorization</b:JournalName>
    <b:Year>2018</b:Year>
    <b:RefOrder>21</b:RefOrder>
  </b:Source>
  <b:Source>
    <b:Tag>Tuf16</b:Tag>
    <b:SourceType>JournalArticle</b:SourceType>
    <b:Guid>{4DD1ADAE-21CA-4BBE-A057-5856613D2F34}</b:Guid>
    <b:Author>
      <b:Author>
        <b:NameList>
          <b:Person>
            <b:Last>Tufaner F</b:Last>
            <b:First>Avşar</b:First>
            <b:Middle>Y.</b:Middle>
          </b:Person>
        </b:NameList>
      </b:Author>
    </b:Author>
    <b:Title>Effects of co-substrate on biogas production from cattle manure: a review</b:Title>
    <b:JournalName>Int J Environ Sci Technol</b:JournalName>
    <b:Year>2016</b:Year>
    <b:RefOrder>8</b:RefOrder>
  </b:Source>
  <b:Source>
    <b:Tag>Sun15</b:Tag>
    <b:SourceType>JournalArticle</b:SourceType>
    <b:Guid>{7228EDD5-241E-4B90-9BDB-EAADA89F228F}</b:Guid>
    <b:Author>
      <b:Author>
        <b:NameList>
          <b:Person>
            <b:Last>Sun L</b:Last>
            <b:First>Pope</b:First>
            <b:Middle>PB, Eijsink VG, Schnürer A</b:Middle>
          </b:Person>
        </b:NameList>
      </b:Author>
    </b:Author>
    <b:Title>Characterization of microbial community structure during continuous anaerobic digestion of straw and cow manure.</b:Title>
    <b:JournalName>Microb Biotechnol</b:JournalName>
    <b:Year>2015</b:Year>
    <b:RefOrder>9</b:RefOrder>
  </b:Source>
  <b:Source>
    <b:Tag>Mar16</b:Tag>
    <b:SourceType>JournalArticle</b:SourceType>
    <b:Guid>{3DE79CAD-88FA-47C4-A6A3-4D2DCF8ED229}</b:Guid>
    <b:Author>
      <b:Author>
        <b:NameList>
          <b:Person>
            <b:Last>Marco Antonio Sarabia Méndez</b:Last>
            <b:First>José</b:First>
            <b:Middle>Ramón LAINES CANEPA, José Aurelio SOSA OLIVIER y Erika ESCALANTE ESPINOSA</b:Middle>
          </b:Person>
        </b:NameList>
      </b:Author>
    </b:Author>
    <b:Title>PRODUCCIÓN DE BIOGÁS MEDIANTE CODIGESTIÓN ANAEROBIA DE EXCRETAS DE BORREGO Y RUMEN ADICIONADAS CON LODOS PROCEDENTES DE UNA PLANTA  DE AGUAS RESIDUALES</b:Title>
    <b:JournalName>Int. Contam. Ambie.</b:JournalName>
    <b:Year>2016</b:Year>
    <b:RefOrder>22</b:RefOrder>
  </b:Source>
  <b:Source>
    <b:Tag>Met03</b:Tag>
    <b:SourceType>Book</b:SourceType>
    <b:Guid>{7FB38B42-C2BC-4921-984C-D00B3E2706DA}</b:Guid>
    <b:Title>Wastewater engineering, treatment and reuse</b:Title>
    <b:Year>2003</b:Year>
    <b:Author>
      <b:Author>
        <b:NameList>
          <b:Person>
            <b:Last>Inc</b:Last>
            <b:First>Metcalf</b:First>
            <b:Middle>E.</b:Middle>
          </b:Person>
        </b:NameList>
      </b:Author>
    </b:Author>
    <b:City>New York</b:City>
    <b:Publisher>McGraw Hill</b:Publisher>
    <b:RefOrder>11</b:RefOrder>
  </b:Source>
  <b:Source>
    <b:Tag>Vav08</b:Tag>
    <b:SourceType>JournalArticle</b:SourceType>
    <b:Guid>{2819A1DE-541A-4C78-B5FD-74304EC7D186}</b:Guid>
    <b:Title>Hydrolysis kinetics in anaerobic degradation of particulate organic material: an overview.</b:Title>
    <b:Year>2008</b:Year>
    <b:Author>
      <b:Author>
        <b:NameList>
          <b:Person>
            <b:Last>Vavilin V</b:Last>
            <b:First>Fernandez</b:First>
            <b:Middle>B, Palatsi J, Flotats X.</b:Middle>
          </b:Person>
        </b:NameList>
      </b:Author>
    </b:Author>
    <b:JournalName>Waste Manag</b:JournalName>
    <b:RefOrder>23</b:RefOrder>
  </b:Source>
  <b:Source>
    <b:Tag>Soh17</b:Tag>
    <b:SourceType>JournalArticle</b:SourceType>
    <b:Guid>{C0D45916-9AD3-4AB2-A0A0-0F263BC7BC0C}</b:Guid>
    <b:Author>
      <b:Author>
        <b:NameList>
          <b:Person>
            <b:Last>Soheil A. Neshat</b:Last>
            <b:First>Maedeh</b:First>
            <b:Middle>Mohammadi, Ghasem D. Najafpour, Pooya Lahijani</b:Middle>
          </b:Person>
        </b:NameList>
      </b:Author>
    </b:Author>
    <b:Title>Anaerobic co-digestion of animal manures and lignocellulosic residues as a potent approach for sustainable biogas production</b:Title>
    <b:JournalName>Renewable and Sustainable Energy Reviews</b:JournalName>
    <b:Year>2017</b:Year>
    <b:Pages>3</b:Pages>
    <b:RefOrder>24</b:RefOrder>
  </b:Source>
  <b:Source>
    <b:Tag>Cla09</b:Tag>
    <b:SourceType>Book</b:SourceType>
    <b:Guid>{1212EB3C-A46E-4B47-87D0-ACE4329F036A}</b:Guid>
    <b:Author>
      <b:Author>
        <b:NameList>
          <b:Person>
            <b:Last>Clark DP</b:Last>
            <b:First>Dunlap</b:First>
            <b:Middle>P, Madigan M, Martinko J.</b:Middle>
          </b:Person>
        </b:NameList>
      </b:Author>
    </b:Author>
    <b:Title>Brock biology of microorganisms</b:Title>
    <b:Year>2009</b:Year>
    <b:City>Beijing</b:City>
    <b:Publisher>Scientific Publisher</b:Publisher>
    <b:RefOrder>12</b:RefOrder>
  </b:Source>
  <b:Source>
    <b:Tag>Kaf16</b:Tag>
    <b:SourceType>JournalArticle</b:SourceType>
    <b:Guid>{6AF0EEA2-2E59-48C0-9C4D-380C4267740B}</b:Guid>
    <b:Title> Comparison on batch anaerobic digestion of five different livestock manures and prediction of biochemical methane potential (BMP) using different statistical models</b:Title>
    <b:Year>2016</b:Year>
    <b:Author>
      <b:Author>
        <b:NameList>
          <b:Person>
            <b:Last>Kafle</b:Last>
            <b:First>G.K.,</b:First>
            <b:Middle>Chen, L.</b:Middle>
          </b:Person>
        </b:NameList>
      </b:Author>
    </b:Author>
    <b:JournalName>Waste Manage</b:JournalName>
    <b:RefOrder>25</b:RefOrder>
  </b:Source>
  <b:Source>
    <b:Tag>Ebn16</b:Tag>
    <b:SourceType>JournalArticle</b:SourceType>
    <b:Guid>{3287054E-6CD6-497E-A305-C20675F9F479}</b:Guid>
    <b:Author>
      <b:Author>
        <b:NameList>
          <b:Person>
            <b:Last>Ebner JH</b:Last>
            <b:First>Labatut</b:First>
            <b:Middle>RA, Lodge JS, Williamson AA, Trabold TA.</b:Middle>
          </b:Person>
        </b:NameList>
      </b:Author>
    </b:Author>
    <b:Title>Anaerobic co-digestion of commercial food waste and dairy manure: characterizing biochemical parameters and synergistic effects.</b:Title>
    <b:JournalName>Waste Manag</b:JournalName>
    <b:Year>2016</b:Year>
    <b:RefOrder>26</b:RefOrder>
  </b:Source>
  <b:Source>
    <b:Tag>Bah14</b:Tag>
    <b:SourceType>JournalArticle</b:SourceType>
    <b:Guid>{B015D4A8-002D-49C7-BDC7-D4DE212E5E8C}</b:Guid>
    <b:Author>
      <b:Author>
        <b:NameList>
          <b:Person>
            <b:Last>Bah H</b:Last>
            <b:First>Zhang</b:First>
            <b:Middle>W, Wu S, Qi D, Kizito S, Dong R</b:Middle>
          </b:Person>
        </b:NameList>
      </b:Author>
    </b:Author>
    <b:Title>Evaluation of batch anaerobic co-digestion of palm pressed fiber and cattle manure under mesophilic conditions.</b:Title>
    <b:JournalName>Waste Manag</b:JournalName>
    <b:Year>2014</b:Year>
    <b:RefOrder>27</b:RefOrder>
  </b:Source>
  <b:Source>
    <b:Tag>LiR09</b:Tag>
    <b:SourceType>JournalArticle</b:SourceType>
    <b:Guid>{9235D89F-73C7-46CC-B8B1-05778F40F1B1}</b:Guid>
    <b:Author>
      <b:Author>
        <b:NameList>
          <b:Person>
            <b:Last>Li R</b:Last>
            <b:First>Chen</b:First>
            <b:Middle>S, Li X, Saifullah Lar J, He Y, Zhu B.</b:Middle>
          </b:Person>
        </b:NameList>
      </b:Author>
    </b:Author>
    <b:Title>Anaerobic codigestion of kitchen waste with cattle manure for biogas production.</b:Title>
    <b:JournalName>Energy Fuels</b:JournalName>
    <b:Year>2009</b:Year>
    <b:RefOrder>28</b:RefOrder>
  </b:Source>
  <b:Source>
    <b:Tag>LiX09</b:Tag>
    <b:SourceType>JournalArticle</b:SourceType>
    <b:Guid>{0D2CDEB1-C8F4-4644-B9C2-613D7E1E7008}</b:Guid>
    <b:Author>
      <b:Author>
        <b:NameList>
          <b:Person>
            <b:Last>Li X</b:Last>
            <b:First>Li</b:First>
            <b:Middle>L, Zheng M, Fu G, Lar JS.</b:Middle>
          </b:Person>
        </b:NameList>
      </b:Author>
    </b:Author>
    <b:Title>Anaerobic co-digestion of cattle manure with corn stover pretreated by sodium hydroxide for efficient biogas production. </b:Title>
    <b:JournalName>Energy Fuels </b:JournalName>
    <b:Year>2009</b:Year>
    <b:RefOrder>13</b:RefOrder>
  </b:Source>
  <b:Source>
    <b:Tag>Kal14</b:Tag>
    <b:SourceType>JournalArticle</b:SourceType>
    <b:Guid>{0697AF3E-2A73-4C92-8DE4-B4E5831BAF6B}</b:Guid>
    <b:Author>
      <b:Author>
        <b:NameList>
          <b:Person>
            <b:Last>Kalamaras S</b:Last>
            <b:First>Kotsopoulos</b:First>
            <b:Middle>T.</b:Middle>
          </b:Person>
        </b:NameList>
      </b:Author>
    </b:Author>
    <b:Title>Anaerobic co-digestion of cattle manure and alternative crops for the substitution of maize in South Europe.</b:Title>
    <b:JournalName> Bioresour Technol</b:JournalName>
    <b:Year>2014</b:Year>
    <b:RefOrder>29</b:RefOrder>
  </b:Source>
  <b:Source>
    <b:Tag>Wei06</b:Tag>
    <b:SourceType>JournalArticle</b:SourceType>
    <b:Guid>{F9EAB38D-97CA-46A0-927B-187CD3681AEA}</b:Guid>
    <b:Author>
      <b:Author>
        <b:NameList>
          <b:Person>
            <b:Last>P</b:Last>
            <b:First>Weiland</b:First>
          </b:Person>
        </b:NameList>
      </b:Author>
    </b:Author>
    <b:Title>Biomass digestion in agriculture: a successful pathway for the energy production and waste treatment in Germany</b:Title>
    <b:JournalName>Eng Life Sci</b:JournalName>
    <b:Year>2006</b:Year>
    <b:RefOrder>30</b:RefOrder>
  </b:Source>
  <b:Source>
    <b:Tag>JMa15</b:Tag>
    <b:SourceType>JournalArticle</b:SourceType>
    <b:Guid>{E7D3E9BB-FF08-40C0-9E85-5983121D47D0}</b:Guid>
    <b:Author>
      <b:Author>
        <b:NameList>
          <b:Person>
            <b:Last>J. Martí-Herrero</b:Last>
            <b:First>R.</b:First>
            <b:Middle>Alvarez, R. Cespedes, M.R. Rojas, V. Conde, L. Aliaga, M. Balboa, S. Danov</b:Middle>
          </b:Person>
        </b:NameList>
      </b:Author>
    </b:Author>
    <b:Title>Cow, sheep and llama manure at psychrophilic anaerobic co-digestion with low cost tubular digesters in cold climate and high altitude</b:Title>
    <b:JournalName>Bioresource Technology</b:JournalName>
    <b:Year>2015</b:Year>
    <b:RefOrder>31</b:RefOrder>
  </b:Source>
  <b:Source>
    <b:Tag>Kim06</b:Tag>
    <b:SourceType>JournalArticle</b:SourceType>
    <b:Guid>{7F5FDE52-0B98-481C-B53E-DFB3AA806763}</b:Guid>
    <b:Author>
      <b:Author>
        <b:NameList>
          <b:Person>
            <b:Last>Kim JK</b:Last>
            <b:First>Oh</b:First>
            <b:Middle>BR, Chun YN, Kim SW</b:Middle>
          </b:Person>
        </b:NameList>
      </b:Author>
    </b:Author>
    <b:Title>Effects of temperature and hydraulic retention time on anaerobic digestion of food waste.</b:Title>
    <b:JournalName>J Biosci Bioeng </b:JournalName>
    <b:Year>2006</b:Year>
    <b:RefOrder>32</b:RefOrder>
  </b:Source>
  <b:Source>
    <b:Tag>Mos15</b:Tag>
    <b:SourceType>JournalArticle</b:SourceType>
    <b:Guid>{40BA5EB9-70F1-49C8-A514-838CE8389EDF}</b:Guid>
    <b:Author>
      <b:Author>
        <b:NameList>
          <b:Person>
            <b:Last>Moset V</b:Last>
            <b:First>Poulsen</b:First>
            <b:Middle>M, Wahid R, Højberg O, Møller HB</b:Middle>
          </b:Person>
        </b:NameList>
      </b:Author>
    </b:Author>
    <b:Title>Mesophilic versus thermophilic anaerobic digestion of cattle manure: methane productivity and microbial ecology.</b:Title>
    <b:JournalName>Microb Biotechnol</b:JournalName>
    <b:Year>2015</b:Year>
    <b:RefOrder>33</b:RefOrder>
  </b:Source>
  <b:Source>
    <b:Tag>Che14</b:Tag>
    <b:SourceType>JournalArticle</b:SourceType>
    <b:Guid>{FC151914-77ED-45EA-B30B-70DFB5B4A844}</b:Guid>
    <b:Author>
      <b:Author>
        <b:NameList>
          <b:Person>
            <b:Last>Cheng X-Y</b:Last>
            <b:First>Zhong</b:First>
            <b:Middle>C.</b:Middle>
          </b:Person>
        </b:NameList>
      </b:Author>
    </b:Author>
    <b:Title>Effects of feed to inoculum ratio, co-digestion, and pretreatment on biogas production from anaerobic digestion of cotton stalk</b:Title>
    <b:JournalName>Energy Fuels</b:JournalName>
    <b:Year>2014</b:Year>
    <b:RefOrder>34</b:RefOrder>
  </b:Source>
  <b:Source>
    <b:Tag>Zha15</b:Tag>
    <b:SourceType>JournalArticle</b:SourceType>
    <b:Guid>{BF1F76A9-99C5-4724-A2D9-072CD615EA63}</b:Guid>
    <b:Author>
      <b:Author>
        <b:NameList>
          <b:Person>
            <b:Last>Zhai N</b:Last>
            <b:First>Zhang</b:First>
            <b:Middle>T, Yin D, Yang G, Wang X, Ren G, et al.</b:Middle>
          </b:Person>
        </b:NameList>
      </b:Author>
    </b:Author>
    <b:Title>Effect of initial pH on anaerobic co-digestion of kitchen waste and cow manure. </b:Title>
    <b:JournalName>Waste Manag</b:JournalName>
    <b:Year>2015</b:Year>
    <b:RefOrder>35</b:RefOrder>
  </b:Source>
  <b:Source>
    <b:Tag>Ric15</b:Tag>
    <b:SourceType>JournalArticle</b:SourceType>
    <b:Guid>{A6DDDB7A-AE4D-4D48-A0FE-D5593B91DFE4}</b:Guid>
    <b:Author>
      <b:Author>
        <b:NameList>
          <b:Person>
            <b:Last>Rico C</b:Last>
            <b:First>Muñoz</b:First>
            <b:Middle>N, Fernández J, Rico JL</b:Middle>
          </b:Person>
        </b:NameList>
      </b:Author>
    </b:Author>
    <b:Title>High-load anaerobic co-digestion of cheese whey and liquid fraction of dairy manure in a one-stage UASB process: limits in co-substrates ratio and organic loading rate. </b:Title>
    <b:JournalName>Chem Eng J</b:JournalName>
    <b:Year>2015</b:Year>
    <b:RefOrder>36</b:RefOrder>
  </b:Source>
  <b:Source>
    <b:Tag>Ris13</b:Tag>
    <b:SourceType>JournalArticle</b:SourceType>
    <b:Guid>{0E54A00A-9DEA-4499-8F93-321E14D4A013}</b:Guid>
    <b:Author>
      <b:Author>
        <b:NameList>
          <b:Person>
            <b:Last>Risberg K</b:Last>
            <b:First>Sun</b:First>
            <b:Middle>L, Levén L, Horn SJ, Schnürer A.</b:Middle>
          </b:Person>
        </b:NameList>
      </b:Author>
    </b:Author>
    <b:Title>Biogas production from wheat straw and manure–impact of pretreatment and process operating parameters</b:Title>
    <b:JournalName>Bioresour Technol</b:JournalName>
    <b:Year>2013</b:Year>
    <b:RefOrder>14</b:RefOrder>
  </b:Source>
  <b:Source>
    <b:Tag>LiY11</b:Tag>
    <b:SourceType>JournalArticle</b:SourceType>
    <b:Guid>{D483251C-7D90-44FE-BDA6-FC8B08FD19C2}</b:Guid>
    <b:Author>
      <b:Author>
        <b:NameList>
          <b:Person>
            <b:Last>Li Y</b:Last>
            <b:First>Park</b:First>
            <b:Middle>SY, Zhu J.</b:Middle>
          </b:Person>
        </b:NameList>
      </b:Author>
    </b:Author>
    <b:Title>Solid-state anaerobic digestion for methane production from organic waste. </b:Title>
    <b:JournalName>Renew Sustain Energy </b:JournalName>
    <b:Year>2011</b:Year>
    <b:RefOrder>15</b:RefOrder>
  </b:Source>
  <b:Source>
    <b:Tag>Zha16</b:Tag>
    <b:SourceType>JournalArticle</b:SourceType>
    <b:Guid>{1F8D555D-C4B3-49A5-8C66-429C5D6C6AB7}</b:Guid>
    <b:Author>
      <b:Author>
        <b:NameList>
          <b:Person>
            <b:Last>Zhang Z</b:Last>
            <b:First>Zhang</b:First>
            <b:Middle>G, Li W, Li C, Xu G</b:Middle>
          </b:Person>
        </b:NameList>
      </b:Author>
    </b:Author>
    <b:Title>Enhanced biogas production from sorghum stem by co-digestion with cow manure.</b:Title>
    <b:JournalName>Int J Hydrog Energy </b:JournalName>
    <b:Year>2016</b:Year>
    <b:RefOrder>37</b:RefOrder>
  </b:Source>
  <b:Source>
    <b:Tag>Bus52</b:Tag>
    <b:SourceType>JournalArticle</b:SourceType>
    <b:Guid>{3AE63D7E-529D-4C8F-BE10-CECA0242EB7B}</b:Guid>
    <b:Author>
      <b:Author>
        <b:NameList>
          <b:Person>
            <b:Last>Buswell AM</b:Last>
            <b:First>Mueller</b:First>
            <b:Middle>HF.</b:Middle>
          </b:Person>
        </b:NameList>
      </b:Author>
    </b:Author>
    <b:Title>Mechanism of methane fermentation</b:Title>
    <b:JournalName>Indengchem</b:JournalName>
    <b:Year>1952</b:Year>
    <b:RefOrder>38</b:RefOrder>
  </b:Source>
  <b:Source>
    <b:Tag>Bah141</b:Tag>
    <b:SourceType>JournalArticle</b:SourceType>
    <b:Guid>{30BAC840-549B-4937-9757-79D8139ADD9F}</b:Guid>
    <b:Author>
      <b:Author>
        <b:NameList>
          <b:Person>
            <b:Last>Bah H</b:Last>
            <b:First>Zhang</b:First>
            <b:Middle>W, Wu S, Qi D, Kizito S, Dong R.</b:Middle>
          </b:Person>
        </b:NameList>
      </b:Author>
    </b:Author>
    <b:Title>Evaluation of batch anaerobic co-digestion of palm pressed fiber and cattle manure under mesophilic conditions.</b:Title>
    <b:JournalName>Waste Manag </b:JournalName>
    <b:Year>2014</b:Year>
    <b:RefOrder>16</b:RefOrder>
  </b:Source>
  <b:Source>
    <b:Tag>Che141</b:Tag>
    <b:SourceType>JournalArticle</b:SourceType>
    <b:Guid>{464028D5-94AF-4EF8-B7FC-735BA7A51923}</b:Guid>
    <b:Author>
      <b:Author>
        <b:NameList>
          <b:Person>
            <b:Last>Cheng X-Y</b:Last>
            <b:First>Zhong</b:First>
            <b:Middle>C.</b:Middle>
          </b:Person>
        </b:NameList>
      </b:Author>
    </b:Author>
    <b:Title>Effects of feed to inoculum ratio, co-digestion, and pretreatment on biogas production from anaerobic digestion of cotton stalk.</b:Title>
    <b:JournalName>Energy Fuels </b:JournalName>
    <b:Year>2014</b:Year>
    <b:RefOrder>39</b:RefOrder>
  </b:Source>
  <b:Source>
    <b:Tag>Kir16</b:Tag>
    <b:SourceType>JournalArticle</b:SourceType>
    <b:Guid>{81B169C6-7520-40BE-8C03-6B96EEBE3AB2}</b:Guid>
    <b:Author>
      <b:Author>
        <b:NameList>
          <b:Person>
            <b:Last>Kiros Hagos</b:Last>
            <b:First>Jianpeng</b:First>
            <b:Middle>Zong, Dongxue Li, Chang Liu⁎, Xiaohua Lu</b:Middle>
          </b:Person>
        </b:NameList>
      </b:Author>
    </b:Author>
    <b:Title>Anaerobic co-digestion process for biogas production: Progress, challenges and perspectives</b:Title>
    <b:JournalName>Renewable and Sustainable Energy Reviews</b:JournalName>
    <b:Year>2016</b:Year>
    <b:RefOrder>40</b:RefOrder>
  </b:Source>
  <b:Source>
    <b:Tag>Wan12</b:Tag>
    <b:SourceType>JournalArticle</b:SourceType>
    <b:Guid>{CA126C58-D766-4AEB-9245-FC76DF258163}</b:Guid>
    <b:Author>
      <b:Author>
        <b:NameList>
          <b:Person>
            <b:Last>Wang X</b:Last>
            <b:First>Yang</b:First>
            <b:Middle>G, Feng Y, Ren G, Han X.</b:Middle>
          </b:Person>
        </b:NameList>
      </b:Author>
    </b:Author>
    <b:Title>Optimizing feeding composition and carbon–nitrogen ratios for improved methane yield during anaerobic co-digestion of dairy, chicken manure and wheat straw.</b:Title>
    <b:JournalName>Bioresour Technol </b:JournalName>
    <b:Year>2012</b:Year>
    <b:RefOrder>41</b:RefOrder>
  </b:Source>
  <b:Source>
    <b:Tag>YcG06</b:Tag>
    <b:SourceType>JournalArticle</b:SourceType>
    <b:Guid>{0B758126-1CB0-4117-BDDC-C61BDD4EC1B4}</b:Guid>
    <b:Author>
      <b:Author>
        <b:NameList>
          <b:Person>
            <b:Last>Gao</b:Last>
            <b:First>Z</b:First>
          </b:Person>
          <b:Person>
            <b:Last>Kuang</b:Last>
            <b:First>M</b:First>
          </b:Person>
          <b:Person>
            <b:Last>Pan</b:Last>
            <b:First>X</b:First>
          </b:Person>
          <b:Person>
            <b:Last>Huang</b:Last>
            <b:First>Chen</b:First>
          </b:Person>
          <b:Person>
            <b:Last>W</b:Last>
          </b:Person>
        </b:NameList>
      </b:Author>
    </b:Author>
    <b:Title>Development progress and current situation analysis of the rural household biogas in China.</b:Title>
    <b:JournalName>Guangdong Agric Sci</b:JournalName>
    <b:Year>2006</b:Year>
    <b:RefOrder>1</b:RefOrder>
  </b:Source>
  <b:Source>
    <b:Tag>MIC15</b:Tag>
    <b:SourceType>Report</b:SourceType>
    <b:Guid>{4E59A614-98C1-46F9-94E7-BE2F6771E3EC}</b:Guid>
    <b:Author>
      <b:Author>
        <b:NameList>
          <b:Person>
            <b:Last>MICSE</b:Last>
          </b:Person>
        </b:NameList>
      </b:Author>
    </b:Author>
    <b:Title>Ministry Coordinating of Strategic Sectors</b:Title>
    <b:Year>,2015</b:Year>
    <b:Publisher>M.C.S. Sectors</b:Publisher>
    <b:City>Quito</b:City>
    <b:ThesisType>Energy National balance</b:ThesisType>
    <b:RefOrder>7</b:RefOrder>
  </b:Source>
  <b:Source>
    <b:Tag>Bon11</b:Tag>
    <b:SourceType>JournalArticle</b:SourceType>
    <b:Guid>{12E03B13-F428-453B-8571-C284EC9D5A82}</b:Guid>
    <b:Author>
      <b:Author>
        <b:NameList>
          <b:Person>
            <b:Last>Bond</b:Last>
            <b:First>T</b:First>
          </b:Person>
          <b:Person>
            <b:Last>Templeton</b:Last>
            <b:First>M</b:First>
            <b:Middle>R</b:Middle>
          </b:Person>
        </b:NameList>
      </b:Author>
    </b:Author>
    <b:Title>History and future of domestic biogas plants in the developing world.</b:Title>
    <b:JournalName>Energy Sustain Dev</b:JournalName>
    <b:Year>2011</b:Year>
    <b:RefOrder>2</b:RefOrder>
  </b:Source>
  <b:Source>
    <b:Tag>Ebn15</b:Tag>
    <b:SourceType>JournalArticle</b:SourceType>
    <b:Guid>{73996EA7-5540-4789-92E1-F772E199A83B}</b:Guid>
    <b:Author>
      <b:Author>
        <b:NameList>
          <b:Person>
            <b:Last>Ebner</b:Last>
            <b:First>J</b:First>
          </b:Person>
          <b:Person>
            <b:Last>Labatut</b:Last>
            <b:First>R.A</b:First>
          </b:Person>
          <b:Person>
            <b:Last>Rankin</b:Last>
            <b:First>M.J</b:First>
          </b:Person>
          <b:Person>
            <b:Last>Pronto</b:Last>
            <b:First>J.L</b:First>
          </b:Person>
          <b:Person>
            <b:Last>Gooch</b:Last>
            <b:First>C.A</b:First>
          </b:Person>
          <b:Person>
            <b:Last>Williamson</b:Last>
            <b:First>A.A</b:First>
          </b:Person>
          <b:Person>
            <b:Last>Trabold</b:Last>
            <b:First>T.A.</b:First>
          </b:Person>
        </b:NameList>
      </b:Author>
    </b:Author>
    <b:Title>Lifecycle greenhouse gas analysis of an anaerobic codigestion facility processing dairy manure and industrial food waste.</b:Title>
    <b:JournalName>Environ. sci. technol.</b:JournalName>
    <b:Year>2015</b:Year>
    <b:RefOrder>3</b:RefOrder>
  </b:Source>
  <b:Source>
    <b:Tag>Boe06</b:Tag>
    <b:SourceType>JournalArticle</b:SourceType>
    <b:Guid>{4DD106BC-EBC2-4E6A-9F3E-B85F40DA373F}</b:Guid>
    <b:Author>
      <b:Author>
        <b:NameList>
          <b:Person>
            <b:Last>Boe</b:Last>
            <b:First>K</b:First>
          </b:Person>
          <b:Person>
            <b:Last>Angelidaki</b:Last>
            <b:First>I</b:First>
          </b:Person>
        </b:NameList>
      </b:Author>
    </b:Author>
    <b:Title>Online monitoring and control of the biogas process.</b:Title>
    <b:JournalName>Danmarks Tekniske Universitet</b:JournalName>
    <b:Year>2006</b:Year>
    <b:RefOrder>4</b:RefOrder>
  </b:Source>
  <b:Source>
    <b:Tag>Pau17</b:Tag>
    <b:SourceType>JournalArticle</b:SourceType>
    <b:Guid>{703ACE8B-2A9F-414D-A511-2C0561A8ECA4}</b:Guid>
    <b:Author>
      <b:Author>
        <b:NameList>
          <b:Person>
            <b:Last>Paudel</b:Last>
            <b:First>S.R</b:First>
          </b:Person>
          <b:Person>
            <b:Last>Banjara</b:Last>
            <b:First>S.P</b:First>
          </b:Person>
          <b:Person>
            <b:Last>Choi</b:Last>
            <b:First>O.K</b:First>
          </b:Person>
          <b:Person>
            <b:Last>Park</b:Last>
            <b:First>K.Y</b:First>
          </b:Person>
          <b:Person>
            <b:Last>Kim</b:Last>
            <b:First>Y.M</b:First>
          </b:Person>
          <b:Person>
            <b:Last>Lee</b:Last>
            <b:First>J.W.</b:First>
          </b:Person>
        </b:NameList>
      </b:Author>
    </b:Author>
    <b:Title>Pretreatment of agricultural biomass for anaerobic digestion: Current state and challenges.</b:Title>
    <b:JournalName>Bioresource Technology</b:JournalName>
    <b:Year>2017</b:Year>
    <b:RefOrder>5</b:RefOrder>
  </b:Source>
  <b:Source>
    <b:Tag>SIP17</b:Tag>
    <b:SourceType>InternetSite</b:SourceType>
    <b:Guid>{62FAA907-7FEA-476E-A3ED-68080AFBDB8E}</b:Guid>
    <b:Title>MINISTERIO DE AGRICULTURA Y GANADERÍA</b:Title>
    <b:Year>2017</b:Year>
    <b:Author>
      <b:Author>
        <b:NameList>
          <b:Person>
            <b:Last>Agropecuaria</b:Last>
            <b:First>Sistema</b:First>
            <b:Middle>de informacion Pública</b:Middle>
          </b:Person>
        </b:NameList>
      </b:Author>
    </b:Author>
    <b:Month>Octubre</b:Month>
    <b:Day>1</b:Day>
    <b:URL>http://sipa.agricultura.gob.ec/index.php/cifras-agroproductivas</b:URL>
    <b:RefOrder>10</b:RefOrder>
  </b:Source>
</b:Sources>
</file>

<file path=customXml/itemProps1.xml><?xml version="1.0" encoding="utf-8"?>
<ds:datastoreItem xmlns:ds="http://schemas.openxmlformats.org/officeDocument/2006/customXml" ds:itemID="{DCFCFC88-85C5-48D6-86BD-B5A33969C2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15144</TotalTime>
  <Pages>106</Pages>
  <Words>74989</Words>
  <Characters>412443</Characters>
  <Application>Microsoft Office Word</Application>
  <DocSecurity>0</DocSecurity>
  <Lines>3437</Lines>
  <Paragraphs>972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486460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Microsoft</cp:lastModifiedBy>
  <cp:revision>45</cp:revision>
  <dcterms:created xsi:type="dcterms:W3CDTF">2018-08-11T16:30:00Z</dcterms:created>
  <dcterms:modified xsi:type="dcterms:W3CDTF">2019-05-26T21:31:00Z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f4432e4c-4a23-3e73-9082-94e5f311ca1a</vt:lpwstr>
  </property>
  <property fmtid="{D5CDD505-2E9C-101B-9397-08002B2CF9AE}" pid="4" name="Mendeley Citation Style_1">
    <vt:lpwstr>http://www.zotero.org/styles/iica-catie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http://www.zotero.org/styles/iica-catie</vt:lpwstr>
  </property>
  <property fmtid="{D5CDD505-2E9C-101B-9397-08002B2CF9AE}" pid="20" name="Mendeley Recent Style Name 7_1">
    <vt:lpwstr>IICA-CATIE (Spanish)</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8th edition</vt:lpwstr>
  </property>
</Properties>
</file>